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b/>
          <w:bCs/>
          <w:color w:val="595959"/>
          <w:sz w:val="22"/>
          <w:szCs w:val="22"/>
        </w:rPr>
        <w:t xml:space="preserve">Livret étudiant · Séance 1 / 2</w:t>
      </w:r>
    </w:p>
    <w:p>
      <w:pPr>
        <w:spacing w:after="100"/>
      </w:pPr>
      <w:r>
        <w:rPr>
          <w:b/>
          <w:bCs/>
          <w:color w:val="1A1A1A"/>
          <w:sz w:val="40"/>
          <w:szCs w:val="40"/>
        </w:rPr>
        <w:t xml:space="preserve">L'IA générative : ce qu'elle sait vraiment faire</w:t>
      </w:r>
    </w:p>
    <w:p>
      <w:pPr>
        <w:spacing w:after="300"/>
      </w:pPr>
      <w:r>
        <w:rPr>
          <w:i/>
          <w:iCs/>
          <w:color w:val="595959"/>
          <w:sz w:val="20"/>
          <w:szCs w:val="20"/>
        </w:rPr>
        <w:t xml:space="preserve">Introduction à l'IA générative — Module BTS SIO SISR</w:t>
      </w:r>
    </w:p>
    <w:tbl>
      <w:tblPr>
        <w:tblW w:type="pct" w:w="100%"/>
        <w:tblBorders>
          <w:top w:val="single" w:color="EAF4EA" w:sz="2"/>
          <w:left w:val="single" w:color="EAF4EA" w:sz="2"/>
          <w:bottom w:val="single" w:color="EAF4EA" w:sz="2"/>
          <w:right w:val="single" w:color="EAF4EA" w:sz="2"/>
          <w:insideH w:val="none" w:color="EAF4EA" w:sz="0"/>
          <w:insideV w:val="none" w:color="EAF4EA" w:sz="0"/>
        </w:tblBorders>
      </w:tblPr>
      <w:tblGrid>
        <w:gridCol w:w="9500"/>
      </w:tblGrid>
      <w:tr>
        <w:tc>
          <w:tcPr>
            <w:tcW w:type="pct" w:w="100%"/>
            <w:tcBorders>
              <w:top w:val="none" w:color="EAF4EA" w:sz="0"/>
              <w:left w:val="single" w:color="2E7D32" w:sz="36"/>
              <w:bottom w:val="none" w:color="EAF4EA" w:sz="0"/>
              <w:right w:val="none" w:color="EAF4EA" w:sz="0"/>
            </w:tcBorders>
            <w:shd w:fill="EAF4EA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2E7D32"/>
                <w:sz w:val="20"/>
                <w:szCs w:val="20"/>
              </w:rPr>
              <w:t xml:space="preserve">🎯  </w:t>
            </w:r>
            <w:r>
              <w:rPr>
                <w:b/>
                <w:bCs/>
                <w:color w:val="2E7D32"/>
                <w:sz w:val="20"/>
                <w:szCs w:val="20"/>
              </w:rPr>
              <w:t xml:space="preserve">À l'issue de cette séance, vous serez capable de :</w:t>
            </w:r>
          </w:p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Expliquer en termes simples comment fonctionne un modèle de langage (LLM).</w:t>
            </w:r>
          </w:p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Citer 3 usages pertinents et 3 limites concrètes de l'IA générative.</w:t>
            </w:r>
          </w:p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Identifier une réponse IA potentiellement fausse ou dangereuse dans votre domaine.</w:t>
            </w:r>
          </w:p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Appliquer les règles de base de confidentialité avant d'utiliser une IA générative.</w:t>
            </w:r>
          </w:p>
        </w:tc>
      </w:tr>
    </w:tbl>
    <w:p>
      <w:pPr>
        <w:spacing w:after="200"/>
      </w:pPr>
    </w:p>
    <w:p>
      <w:pPr>
        <w:pStyle w:val="Heading1"/>
        <w:pBdr>
          <w:bottom w:val="single" w:color="1A1A1A" w:sz="6" w:space="4"/>
        </w:pBdr>
        <w:spacing w:after="160" w:before="320"/>
      </w:pPr>
      <w:r>
        <w:rPr>
          <w:b/>
          <w:bCs/>
          <w:color w:val="1A1A1A"/>
          <w:sz w:val="28"/>
          <w:szCs w:val="28"/>
        </w:rPr>
        <w:t xml:space="preserve">1. Qu'est-ce qu'une IA générative ?</w:t>
      </w:r>
    </w:p>
    <w:p>
      <w:pPr>
        <w:spacing w:after="10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Un LLM (Large Language Model) est un programme entraîné sur d'immenses quantités de texte. Sa seule tâche : prédire, mot après mot, la suite la plus probable d'un texte.</w:t>
      </w:r>
    </w:p>
    <w:p>
      <w:pPr>
        <w:spacing w:after="80"/>
      </w:pPr>
      <w:r>
        <w:rPr>
          <w:b/>
          <w:bCs/>
          <w:i w:val="false"/>
          <w:iCs w:val="false"/>
          <w:sz w:val="20"/>
          <w:szCs w:val="20"/>
        </w:rPr>
        <w:t xml:space="preserve">Ce qu'il faut absolument retenir :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  <w:sz w:val="20"/>
          <w:szCs w:val="20"/>
        </w:rPr>
        <w:t xml:space="preserve">Il ne « comprend » pas au sens humain — il calcule des probabilités statistiques.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  <w:sz w:val="20"/>
          <w:szCs w:val="20"/>
        </w:rPr>
        <w:t xml:space="preserve">Il n'a pas de mémoire entre deux conversations (sauf si on la lui fournit explicitement).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  <w:sz w:val="20"/>
          <w:szCs w:val="20"/>
        </w:rPr>
        <w:t xml:space="preserve">Ses connaissances sont figées à une date d'entraînement (« date de coupure »).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  <w:sz w:val="20"/>
          <w:szCs w:val="20"/>
        </w:rPr>
        <w:t xml:space="preserve">Une réponse qui « sonne juste » n'est pas forcément une réponse vraie.</w:t>
      </w:r>
    </w:p>
    <w:p>
      <w:pPr>
        <w:spacing w:after="120"/>
      </w:pPr>
    </w:p>
    <w:p>
      <w:pPr>
        <w:pBdr>
          <w:top w:val="single" w:color="D9D9D9" w:sz="4" w:space="8"/>
        </w:pBdr>
        <w:spacing w:after="300"/>
      </w:pPr>
      <w:r>
        <w:rPr>
          <w:b/>
          <w:bCs/>
          <w:sz w:val="20"/>
          <w:szCs w:val="20"/>
        </w:rPr>
        <w:t xml:space="preserve">Notes personnelles : </w:t>
      </w:r>
      <w:r>
        <w:rPr>
          <w:sz w:val="20"/>
          <w:szCs w:val="20"/>
        </w:rPr>
        <w:t xml:space="preserve">____________________________________________________________________________________________________________________________________________________</w:t>
      </w:r>
    </w:p>
    <w:p>
      <w:pPr>
        <w:pStyle w:val="Heading1"/>
        <w:pBdr>
          <w:bottom w:val="single" w:color="1A1A1A" w:sz="6" w:space="4"/>
        </w:pBdr>
        <w:spacing w:after="160" w:before="320"/>
      </w:pPr>
      <w:r>
        <w:rPr>
          <w:b/>
          <w:bCs/>
          <w:color w:val="1A1A1A"/>
          <w:sz w:val="28"/>
          <w:szCs w:val="28"/>
        </w:rPr>
        <w:t xml:space="preserve">2. Où se situe l'IA générative ?</w:t>
      </w:r>
    </w:p>
    <w:p>
      <w:pPr>
        <w:spacing w:after="10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L'IA générative n'est qu'une sous-branche d'un paysage plus large. Deux grandes approches historiques coexistent 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800"/>
        <w:gridCol w:w="3300"/>
      </w:tblGrid>
      <w:tr>
        <w:trPr>
          <w:tblHeader/>
        </w:trPr>
        <w:tc>
          <w:tcPr>
            <w:tcW w:type="dxa" w:w="2400"/>
            <w:shd w:fill="1A1A1A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Approche</w:t>
            </w:r>
          </w:p>
        </w:tc>
        <w:tc>
          <w:tcPr>
            <w:tcW w:type="dxa" w:w="3800"/>
            <w:shd w:fill="1A1A1A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Principe</w:t>
            </w:r>
          </w:p>
        </w:tc>
        <w:tc>
          <w:tcPr>
            <w:tcW w:type="dxa" w:w="3300"/>
            <w:shd w:fill="1A1A1A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Exemples</w:t>
            </w:r>
          </w:p>
        </w:tc>
      </w:tr>
      <w:tr>
        <w:tc>
          <w:tcPr>
            <w:tcW w:type="dxa" w:w="2400"/>
            <w:shd w:fill="F2F2F2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>IA symbolique</w:t>
            </w:r>
          </w:p>
        </w:tc>
        <w:tc>
          <w:tcPr>
            <w:tcW w:type="dxa" w:w="3800"/>
            <w:shd w:fill="F2F2F2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>Règles logiques écrites par des humains, décision explicable</w:t>
            </w:r>
          </w:p>
        </w:tc>
        <w:tc>
          <w:tcPr>
            <w:tcW w:type="dxa" w:w="3300"/>
            <w:shd w:fill="F2F2F2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>Systèmes experts, moteurs de règles</w:t>
            </w:r>
          </w:p>
        </w:tc>
      </w:tr>
      <w:tr>
        <w:tc>
          <w:tcPr>
            <w:tcW w:type="dxa" w:w="24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>Machine learning</w:t>
            </w:r>
          </w:p>
        </w:tc>
        <w:tc>
          <w:tcPr>
            <w:tcW w:type="dxa" w:w="38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>Apprentissage statistique à partir de données</w:t>
            </w:r>
          </w:p>
        </w:tc>
        <w:tc>
          <w:tcPr>
            <w:tcW w:type="dxa" w:w="33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>Approche dominante aujourd'hui</w:t>
            </w:r>
          </w:p>
        </w:tc>
      </w:tr>
    </w:tbl>
    <w:p>
      <w:pPr>
        <w:spacing w:after="120"/>
      </w:pPr>
    </w:p>
    <w:p>
      <w:pPr>
        <w:spacing w:after="8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Le machine learning se divise lui-même selon la fonction du système 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4200"/>
        <w:gridCol w:w="2700"/>
      </w:tblGrid>
      <w:tr>
        <w:trPr>
          <w:tblHeader/>
        </w:trPr>
        <w:tc>
          <w:tcPr>
            <w:tcW w:type="dxa" w:w="2600"/>
            <w:shd w:fill="1A1A1A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Type</w:t>
            </w:r>
          </w:p>
        </w:tc>
        <w:tc>
          <w:tcPr>
            <w:tcW w:type="dxa" w:w="4200"/>
            <w:shd w:fill="1A1A1A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Ce qu'il fait</w:t>
            </w:r>
          </w:p>
        </w:tc>
        <w:tc>
          <w:tcPr>
            <w:tcW w:type="dxa" w:w="2700"/>
            <w:shd w:fill="1A1A1A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Exemples</w:t>
            </w:r>
          </w:p>
        </w:tc>
      </w:tr>
      <w:tr>
        <w:tc>
          <w:tcPr>
            <w:tcW w:type="dxa" w:w="2600"/>
            <w:shd w:fill="F2F2F2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>Discriminatif / prédictif</w:t>
            </w:r>
          </w:p>
        </w:tc>
        <w:tc>
          <w:tcPr>
            <w:tcW w:type="dxa" w:w="4200"/>
            <w:shd w:fill="F2F2F2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>Classe, score, prédit à partir de données existantes</w:t>
            </w:r>
          </w:p>
        </w:tc>
        <w:tc>
          <w:tcPr>
            <w:tcW w:type="dxa" w:w="2700"/>
            <w:shd w:fill="F2F2F2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>Détection de spam, scoring de crédit, diagnostic</w:t>
            </w:r>
          </w:p>
        </w:tc>
      </w:tr>
      <w:tr>
        <w:tc>
          <w:tcPr>
            <w:tcW w:type="dxa" w:w="26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>Génératif</w:t>
            </w:r>
          </w:p>
        </w:tc>
        <w:tc>
          <w:tcPr>
            <w:tcW w:type="dxa" w:w="42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>Crée du contenu inédit (texte, image, code, audio)</w:t>
            </w:r>
          </w:p>
        </w:tc>
        <w:tc>
          <w:tcPr>
            <w:tcW w:type="dxa" w:w="27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>Claude, ChatGPT, Gemini…</w:t>
            </w:r>
          </w:p>
        </w:tc>
      </w:tr>
    </w:tbl>
    <w:p>
      <w:pPr>
        <w:spacing w:after="160"/>
      </w:pPr>
    </w:p>
    <w:tbl>
      <w:tblPr>
        <w:tblW w:type="pct" w:w="100%"/>
        <w:tblBorders>
          <w:top w:val="single" w:color="EAF4EA" w:sz="2"/>
          <w:left w:val="single" w:color="EAF4EA" w:sz="2"/>
          <w:bottom w:val="single" w:color="EAF4EA" w:sz="2"/>
          <w:right w:val="single" w:color="EAF4EA" w:sz="2"/>
          <w:insideH w:val="none" w:color="EAF4EA" w:sz="0"/>
          <w:insideV w:val="none" w:color="EAF4EA" w:sz="0"/>
        </w:tblBorders>
      </w:tblPr>
      <w:tblGrid>
        <w:gridCol w:w="9500"/>
      </w:tblGrid>
      <w:tr>
        <w:tc>
          <w:tcPr>
            <w:tcW w:type="pct" w:w="100%"/>
            <w:tcBorders>
              <w:top w:val="none" w:color="EAF4EA" w:sz="0"/>
              <w:left w:val="single" w:color="2E7D32" w:sz="36"/>
              <w:bottom w:val="none" w:color="EAF4EA" w:sz="0"/>
              <w:right w:val="none" w:color="EAF4EA" w:sz="0"/>
            </w:tcBorders>
            <w:shd w:fill="EAF4EA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2E7D32"/>
                <w:sz w:val="20"/>
                <w:szCs w:val="20"/>
              </w:rPr>
              <w:t xml:space="preserve">🧭  </w:t>
            </w:r>
            <w:r>
              <w:rPr>
                <w:b/>
                <w:bCs/>
                <w:color w:val="2E7D32"/>
                <w:sz w:val="20"/>
                <w:szCs w:val="20"/>
              </w:rPr>
              <w:t xml:space="preserve">Trois façons de classer l'IA</w:t>
            </w:r>
          </w:p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Par fonction : discriminative — classe/prédit à partir de données existantes (ex. détecter un spam) — vs générative — crée du contenu inédit — vs agents — planifie et agit avec des outils (navigation, code).</w:t>
            </w:r>
          </w:p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Par méthode d'apprentissage : supervisé (entraîné sur des exemples déjà étiquetés avec la bonne réponse), non supervisé (le modèle repère seul des regroupements, sans réponse fournie), ou par renforcement (essai-erreur récompensé, comme AlphaGo).</w:t>
            </w:r>
          </w:p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Par approche historique : IA symbolique (règles écrites par des humains, décision qu'on peut expliquer pas à pas) vs machine learning (apprentissage à partir de nombreux exemples de données, sans règles écrites à la main — approche dominante aujourd'hui).</w:t>
            </w:r>
          </w:p>
        </w:tc>
      </w:tr>
    </w:tbl>
    <w:p>
      <w:pPr>
        <w:spacing w:after="120"/>
      </w:pPr>
    </w:p>
    <w:tbl>
      <w:tblPr>
        <w:tblW w:type="pct" w:w="100%"/>
        <w:tblBorders>
          <w:top w:val="single" w:color="E8ECF5" w:sz="2"/>
          <w:left w:val="single" w:color="E8ECF5" w:sz="2"/>
          <w:bottom w:val="single" w:color="E8ECF5" w:sz="2"/>
          <w:right w:val="single" w:color="E8ECF5" w:sz="2"/>
          <w:insideH w:val="none" w:color="E8ECF5" w:sz="0"/>
          <w:insideV w:val="none" w:color="E8ECF5" w:sz="0"/>
        </w:tblBorders>
      </w:tblPr>
      <w:tblGrid>
        <w:gridCol w:w="9500"/>
      </w:tblGrid>
      <w:tr>
        <w:tc>
          <w:tcPr>
            <w:tcW w:type="pct" w:w="100%"/>
            <w:tcBorders>
              <w:top w:val="none" w:color="E8ECF5" w:sz="0"/>
              <w:left w:val="single" w:color="1F3864" w:sz="36"/>
              <w:bottom w:val="none" w:color="E8ECF5" w:sz="0"/>
              <w:right w:val="none" w:color="E8ECF5" w:sz="0"/>
            </w:tcBorders>
            <w:shd w:fill="E8ECF5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§  </w:t>
            </w:r>
            <w:r>
              <w:rPr>
                <w:b/>
                <w:bCs/>
                <w:color w:val="1F3864"/>
                <w:sz w:val="20"/>
                <w:szCs w:val="20"/>
              </w:rPr>
              <w:t xml:space="preserve">Et Claude, ChatGPT, Gemini alors ?</w:t>
            </w:r>
          </w:p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Ce sont tous des LLM (Large Language Models) : au cœur, une IA générative qui prédit du texte token par token. Dans leurs versions récentes, ils peuvent aussi agir comme un agent : ne plus seulement répondre par du texte, mais utiliser des outils, naviguer sur le web ou exécuter du code pour accomplir une tâche — le moteur de génération de texte reste toutefois le même.</w:t>
            </w:r>
          </w:p>
        </w:tc>
      </w:tr>
    </w:tbl>
    <w:p>
      <w:pPr>
        <w:spacing w:after="200"/>
      </w:pPr>
    </w:p>
    <w:p>
      <w:r>
        <w:br w:type="page"/>
      </w:r>
    </w:p>
    <w:p>
      <w:pPr>
        <w:pStyle w:val="Heading1"/>
        <w:pBdr>
          <w:bottom w:val="single" w:color="1A1A1A" w:sz="6" w:space="4"/>
        </w:pBdr>
        <w:spacing w:after="160" w:before="320"/>
      </w:pPr>
      <w:r>
        <w:rPr>
          <w:b/>
          <w:bCs/>
          <w:color w:val="1A1A1A"/>
          <w:sz w:val="28"/>
          <w:szCs w:val="28"/>
        </w:rPr>
        <w:t xml:space="preserve">3. Le vocabulaire à connaître</w:t>
      </w:r>
    </w:p>
    <w:p>
      <w:pPr>
        <w:spacing w:after="10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Un lexique de base pour comprendre les articles, la documentation et les discussions autour de l'IA générative.</w:t>
      </w:r>
    </w:p>
    <w:p>
      <w:pPr>
        <w:spacing w:after="10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300"/>
      </w:tblGrid>
      <w:tr>
        <w:trPr>
          <w:tblHeader/>
        </w:trPr>
        <w:tc>
          <w:tcPr>
            <w:tcW w:type="dxa" w:w="3200"/>
            <w:shd w:fill="1A1A1A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Terme</w:t>
            </w:r>
          </w:p>
        </w:tc>
        <w:tc>
          <w:tcPr>
            <w:tcW w:type="dxa" w:w="6300"/>
            <w:shd w:fill="1A1A1A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Définition</w:t>
            </w:r>
          </w:p>
        </w:tc>
      </w:tr>
      <w:tr>
        <w:tc>
          <w:tcPr>
            <w:tcW w:type="dxa" w:w="3200"/>
            <w:shd w:fill="F2F2F2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>LLM (Large Language Model)</w:t>
            </w:r>
          </w:p>
        </w:tc>
        <w:tc>
          <w:tcPr>
            <w:tcW w:type="dxa" w:w="6300"/>
            <w:shd w:fill="F2F2F2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>Modèle de langage entraîné sur d'énormes quantités de texte pour prédire la suite d'un texte.</w:t>
            </w:r>
          </w:p>
        </w:tc>
      </w:tr>
      <w:tr>
        <w:tc>
          <w:tcPr>
            <w:tcW w:type="dxa" w:w="32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>Prompt</w:t>
            </w:r>
          </w:p>
        </w:tc>
        <w:tc>
          <w:tcPr>
            <w:tcW w:type="dxa" w:w="63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>La question ou l'instruction donnée à l'IA.</w:t>
            </w:r>
          </w:p>
        </w:tc>
      </w:tr>
      <w:tr>
        <w:tc>
          <w:tcPr>
            <w:tcW w:type="dxa" w:w="3200"/>
            <w:shd w:fill="F2F2F2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>Token</w:t>
            </w:r>
          </w:p>
        </w:tc>
        <w:tc>
          <w:tcPr>
            <w:tcW w:type="dxa" w:w="6300"/>
            <w:shd w:fill="F2F2F2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>Unité de texte (mot ou fragment de mot) que le modèle manipule — pas toujours une lettre ou un mot entier.</w:t>
            </w:r>
          </w:p>
        </w:tc>
      </w:tr>
      <w:tr>
        <w:tc>
          <w:tcPr>
            <w:tcW w:type="dxa" w:w="32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>Contexte / fenêtre de contexte</w:t>
            </w:r>
          </w:p>
        </w:tc>
        <w:tc>
          <w:tcPr>
            <w:tcW w:type="dxa" w:w="63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>Quantité de texte que le modèle peut « voir » en même temps (prompt + historique + réponse).</w:t>
            </w:r>
          </w:p>
        </w:tc>
      </w:tr>
      <w:tr>
        <w:tc>
          <w:tcPr>
            <w:tcW w:type="dxa" w:w="3200"/>
            <w:shd w:fill="F2F2F2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>Température</w:t>
            </w:r>
          </w:p>
        </w:tc>
        <w:tc>
          <w:tcPr>
            <w:tcW w:type="dxa" w:w="6300"/>
            <w:shd w:fill="F2F2F2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>Paramètre qui règle le degré d'aléatoire des réponses : basse = plus prévisible, haute = plus créative.</w:t>
            </w:r>
          </w:p>
        </w:tc>
      </w:tr>
      <w:tr>
        <w:tc>
          <w:tcPr>
            <w:tcW w:type="dxa" w:w="32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>Fine-tuning</w:t>
            </w:r>
          </w:p>
        </w:tc>
        <w:tc>
          <w:tcPr>
            <w:tcW w:type="dxa" w:w="63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>Ré-entraînement spécialisé d'un modèle déjà entraîné, sur des données ciblées (ex. un domaine métier).</w:t>
            </w:r>
          </w:p>
        </w:tc>
      </w:tr>
      <w:tr>
        <w:tc>
          <w:tcPr>
            <w:tcW w:type="dxa" w:w="3200"/>
            <w:shd w:fill="F2F2F2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>Hallucination</w:t>
            </w:r>
          </w:p>
        </w:tc>
        <w:tc>
          <w:tcPr>
            <w:tcW w:type="dxa" w:w="6300"/>
            <w:shd w:fill="F2F2F2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>Réponse inventée, présentée avec la même assurance qu'une réponse correcte.</w:t>
            </w:r>
          </w:p>
        </w:tc>
      </w:tr>
      <w:tr>
        <w:tc>
          <w:tcPr>
            <w:tcW w:type="dxa" w:w="32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>RAG (Retrieval-Augmented Generation)</w:t>
            </w:r>
          </w:p>
        </w:tc>
        <w:tc>
          <w:tcPr>
            <w:tcW w:type="dxa" w:w="63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>Technique qui fournit des documents à l'IA pour qu'elle réponde à partir d'eux, plutôt que de sa seule mémoire.</w:t>
            </w:r>
          </w:p>
        </w:tc>
      </w:tr>
      <w:tr>
        <w:tc>
          <w:tcPr>
            <w:tcW w:type="dxa" w:w="3200"/>
            <w:shd w:fill="F2F2F2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>Agent IA</w:t>
            </w:r>
          </w:p>
        </w:tc>
        <w:tc>
          <w:tcPr>
            <w:tcW w:type="dxa" w:w="6300"/>
            <w:shd w:fill="F2F2F2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>Système qui utilise l'IA pour planifier et exécuter des actions (appel d'outils, navigation, exécution de code).</w:t>
            </w:r>
          </w:p>
        </w:tc>
      </w:tr>
      <w:tr>
        <w:tc>
          <w:tcPr>
            <w:tcW w:type="dxa" w:w="32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>Prompt engineering</w:t>
            </w:r>
          </w:p>
        </w:tc>
        <w:tc>
          <w:tcPr>
            <w:tcW w:type="dxa" w:w="63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>L'art de formuler une requête pour obtenir une meilleure réponse.</w:t>
            </w:r>
          </w:p>
        </w:tc>
      </w:tr>
      <w:tr>
        <w:tc>
          <w:tcPr>
            <w:tcW w:type="dxa" w:w="3200"/>
            <w:shd w:fill="F2F2F2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>Biais</w:t>
            </w:r>
          </w:p>
        </w:tc>
        <w:tc>
          <w:tcPr>
            <w:tcW w:type="dxa" w:w="6300"/>
            <w:shd w:fill="F2F2F2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>Tendance du modèle à favoriser certains résultats à cause de ses données d'entraînement.</w:t>
            </w:r>
          </w:p>
        </w:tc>
      </w:tr>
      <w:tr>
        <w:tc>
          <w:tcPr>
            <w:tcW w:type="dxa" w:w="32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>Inférence</w:t>
            </w:r>
          </w:p>
        </w:tc>
        <w:tc>
          <w:tcPr>
            <w:tcW w:type="dxa" w:w="63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>Le fait, pour le modèle déjà entraîné, de générer une réponse à une question posée.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1A1A1A" w:sz="6" w:space="4"/>
        </w:pBdr>
        <w:spacing w:after="160" w:before="320"/>
      </w:pPr>
      <w:r>
        <w:rPr>
          <w:b/>
          <w:bCs/>
          <w:color w:val="1A1A1A"/>
          <w:sz w:val="28"/>
          <w:szCs w:val="28"/>
        </w:rPr>
        <w:t xml:space="preserve">4. Ce que l'IA sait bien faire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900"/>
      </w:tblGrid>
      <w:tr>
        <w:trPr>
          <w:tblHeader/>
        </w:trPr>
        <w:tc>
          <w:tcPr>
            <w:tcW w:type="dxa" w:w="2600"/>
            <w:shd w:fill="1A1A1A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Domaine</w:t>
            </w:r>
          </w:p>
        </w:tc>
        <w:tc>
          <w:tcPr>
            <w:tcW w:type="dxa" w:w="6900"/>
            <w:shd w:fill="1A1A1A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Exemples</w:t>
            </w:r>
          </w:p>
        </w:tc>
      </w:tr>
      <w:tr>
        <w:tc>
          <w:tcPr>
            <w:tcW w:type="dxa" w:w="2600"/>
            <w:shd w:fill="F2F2F2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>Quotidien</w:t>
            </w:r>
          </w:p>
        </w:tc>
        <w:tc>
          <w:tcPr>
            <w:tcW w:type="dxa" w:w="6900"/>
            <w:shd w:fill="F2F2F2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>Reformuler, résumer, traduire, débloquer une page blanche</w:t>
            </w:r>
          </w:p>
        </w:tc>
      </w:tr>
      <w:tr>
        <w:tc>
          <w:tcPr>
            <w:tcW w:type="dxa" w:w="26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>Métier informatique</w:t>
            </w:r>
          </w:p>
        </w:tc>
        <w:tc>
          <w:tcPr>
            <w:tcW w:type="dxa" w:w="69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>Premier jet de script, explication d'un message d'erreur, trame de documentation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1A1A1A" w:sz="6" w:space="4"/>
        </w:pBdr>
        <w:spacing w:after="160" w:before="320"/>
      </w:pPr>
      <w:r>
        <w:rPr>
          <w:b/>
          <w:bCs/>
          <w:color w:val="1A1A1A"/>
          <w:sz w:val="28"/>
          <w:szCs w:val="28"/>
        </w:rPr>
        <w:t xml:space="preserve">5. Ce que l'IA ne sait PAS faire</w:t>
      </w:r>
    </w:p>
    <w:tbl>
      <w:tblPr>
        <w:tblW w:type="pct" w:w="100%"/>
        <w:tblBorders>
          <w:top w:val="single" w:color="FBEAE8" w:sz="2"/>
          <w:left w:val="single" w:color="FBEAE8" w:sz="2"/>
          <w:bottom w:val="single" w:color="FBEAE8" w:sz="2"/>
          <w:right w:val="single" w:color="FBEAE8" w:sz="2"/>
          <w:insideH w:val="none" w:color="FBEAE8" w:sz="0"/>
          <w:insideV w:val="none" w:color="FBEAE8" w:sz="0"/>
        </w:tblBorders>
      </w:tblPr>
      <w:tblGrid>
        <w:gridCol w:w="9500"/>
      </w:tblGrid>
      <w:tr>
        <w:tc>
          <w:tcPr>
            <w:tcW w:type="pct" w:w="100%"/>
            <w:tcBorders>
              <w:top w:val="none" w:color="FBEAE8" w:sz="0"/>
              <w:left w:val="single" w:color="C0392B" w:sz="36"/>
              <w:bottom w:val="none" w:color="FBEAE8" w:sz="0"/>
              <w:right w:val="none" w:color="FBEAE8" w:sz="0"/>
            </w:tcBorders>
            <w:shd w:fill="FBEAE8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C0392B"/>
                <w:sz w:val="20"/>
                <w:szCs w:val="20"/>
              </w:rPr>
              <w:t xml:space="preserve">⚠  </w:t>
            </w:r>
            <w:r>
              <w:rPr>
                <w:b/>
                <w:bCs/>
                <w:color w:val="C0392B"/>
                <w:sz w:val="20"/>
                <w:szCs w:val="20"/>
              </w:rPr>
              <w:t xml:space="preserve">L'hallucination : le piège n°1</w:t>
            </w:r>
          </w:p>
          <w:p>
            <w:pPr>
              <w:spacing w:after="8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Une IA générative peut inventer une commande, une fonction ou une API qui n'existe pas — avec la même assurance qu'une réponse correcte.</w:t>
            </w:r>
          </w:p>
          <w:p>
            <w:pPr>
              <w:spacing w:after="0"/>
            </w:pPr>
            <w:r>
              <w:rPr>
                <w:b w:val="false"/>
                <w:bCs w:val="false"/>
                <w:i/>
                <w:iCs/>
                <w:sz w:val="20"/>
                <w:szCs w:val="20"/>
              </w:rPr>
              <w:t xml:space="preserve">Exemple vu en cours : une commande PowerShell utilisant une cmdlet qui n'existe pas dans le module ActiveDirectory.</w:t>
            </w:r>
          </w:p>
        </w:tc>
      </w:tr>
    </w:tbl>
    <w:p>
      <w:pPr>
        <w:spacing w:after="120"/>
      </w:pPr>
    </w:p>
    <w:p>
      <w:pPr>
        <w:spacing w:after="80"/>
      </w:pPr>
      <w:r>
        <w:rPr>
          <w:b/>
          <w:bCs/>
          <w:i w:val="false"/>
          <w:iCs w:val="false"/>
          <w:sz w:val="20"/>
          <w:szCs w:val="20"/>
        </w:rPr>
        <w:t xml:space="preserve">Autres limites à connaître :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  <w:sz w:val="20"/>
          <w:szCs w:val="20"/>
        </w:rPr>
        <w:t xml:space="preserve">Biais issus des données d'entraînement.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  <w:sz w:val="20"/>
          <w:szCs w:val="20"/>
        </w:rPr>
        <w:t xml:space="preserve">Connaissances figées dans le temps.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  <w:sz w:val="20"/>
          <w:szCs w:val="20"/>
        </w:rPr>
        <w:t xml:space="preserve">Absence de recul critique sur sa propre réponse.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  <w:sz w:val="20"/>
          <w:szCs w:val="20"/>
        </w:rPr>
        <w:t xml:space="preserve">Sensibilité à la formulation de la question.</w:t>
      </w:r>
    </w:p>
    <w:p>
      <w:pPr>
        <w:spacing w:after="160"/>
      </w:pPr>
    </w:p>
    <w:p>
      <w:pPr>
        <w:pStyle w:val="Heading1"/>
        <w:pBdr>
          <w:bottom w:val="single" w:color="1A1A1A" w:sz="6" w:space="4"/>
        </w:pBdr>
        <w:spacing w:after="160" w:before="320"/>
      </w:pPr>
      <w:r>
        <w:rPr>
          <w:b/>
          <w:bCs/>
          <w:color w:val="1A1A1A"/>
          <w:sz w:val="28"/>
          <w:szCs w:val="28"/>
        </w:rPr>
        <w:t xml:space="preserve">6. Exercice — Traquer l'erreur</w:t>
      </w:r>
    </w:p>
    <w:tbl>
      <w:tblPr>
        <w:tblW w:type="pct" w:w="100%"/>
        <w:tblBorders>
          <w:top w:val="single" w:color="FDF1E3" w:sz="2"/>
          <w:left w:val="single" w:color="FDF1E3" w:sz="2"/>
          <w:bottom w:val="single" w:color="FDF1E3" w:sz="2"/>
          <w:right w:val="single" w:color="FDF1E3" w:sz="2"/>
          <w:insideH w:val="none" w:color="FDF1E3" w:sz="0"/>
          <w:insideV w:val="none" w:color="FDF1E3" w:sz="0"/>
        </w:tblBorders>
      </w:tblPr>
      <w:tblGrid>
        <w:gridCol w:w="9500"/>
      </w:tblGrid>
      <w:tr>
        <w:tc>
          <w:tcPr>
            <w:tcW w:type="pct" w:w="100%"/>
            <w:tcBorders>
              <w:top w:val="none" w:color="FDF1E3" w:sz="0"/>
              <w:left w:val="single" w:color="E07B00" w:sz="36"/>
              <w:bottom w:val="none" w:color="FDF1E3" w:sz="0"/>
              <w:right w:val="none" w:color="FDF1E3" w:sz="0"/>
            </w:tcBorders>
            <w:shd w:fill="FDF1E3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E07B00"/>
                <w:sz w:val="20"/>
                <w:szCs w:val="20"/>
              </w:rPr>
              <w:t xml:space="preserve">✍  </w:t>
            </w:r>
            <w:r>
              <w:rPr>
                <w:b/>
                <w:bCs/>
                <w:color w:val="E07B00"/>
                <w:sz w:val="20"/>
                <w:szCs w:val="20"/>
              </w:rPr>
              <w:t xml:space="preserve">À faire en binôme (10 min)</w:t>
            </w:r>
          </w:p>
          <w:p>
            <w:pPr>
              <w:spacing w:after="8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Analysez le point de départ ci-dessous (question posée à une IA générative + réponse obtenue). Votre enseignant peut le remplacer par un autre exemple.</w:t>
            </w:r>
          </w:p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1. Identifiez ce qui est correct dans la réponse.</w:t>
            </w:r>
          </w:p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2. Identifiez ce qui est faux, imprécis ou dangereux à appliquer tel quel.</w:t>
            </w:r>
          </w:p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3. Expliquez comment vous auriez pu repérer l'erreur sans l'IA.</w:t>
            </w:r>
          </w:p>
        </w:tc>
      </w:tr>
    </w:tbl>
    <w:p>
      <w:pPr>
        <w:spacing w:after="120"/>
      </w:pPr>
    </w:p>
    <w:p>
      <w:pPr>
        <w:spacing w:after="60"/>
      </w:pPr>
      <w:r>
        <w:rPr>
          <w:b/>
          <w:bCs/>
          <w:i w:val="false"/>
          <w:iCs w:val="false"/>
          <w:sz w:val="20"/>
          <w:szCs w:val="20"/>
        </w:rPr>
        <w:t xml:space="preserve">Point de départ</w:t>
      </w:r>
    </w:p>
    <w:p>
      <w:pPr>
        <w:spacing w:after="100"/>
      </w:pPr>
      <w:r>
        <w:rPr>
          <w:b w:val="false"/>
          <w:bCs w:val="false"/>
          <w:i/>
          <w:iCs/>
          <w:sz w:val="20"/>
          <w:szCs w:val="20"/>
        </w:rPr>
        <w:t xml:space="preserve">Question posée : « Écris un script qui se connecte à une base de données pour récupérer la liste des clients. »</w:t>
      </w:r>
    </w:p>
    <w:tbl>
      <w:tblPr>
        <w:tblW w:type="pct" w:w="100%"/>
        <w:tblBorders>
          <w:top w:val="single" w:color="1E1E1E" w:sz="2"/>
          <w:left w:val="single" w:color="1E1E1E" w:sz="2"/>
          <w:bottom w:val="single" w:color="1E1E1E" w:sz="2"/>
          <w:right w:val="single" w:color="1E1E1E" w:sz="2"/>
          <w:insideH w:val="single" w:color="auto" w:sz="4"/>
          <w:insideV w:val="single" w:color="auto" w:sz="4"/>
        </w:tblBorders>
      </w:tblPr>
      <w:tblGrid>
        <w:gridCol w:w="9500"/>
      </w:tblGrid>
      <w:tr>
        <w:tc>
          <w:tcPr>
            <w:tcW w:type="pct" w:w="100%"/>
            <w:shd w:fill="1E1E1E" w:val="clear"/>
            <w:tcMar>
              <w:top w:type="dxa" w:w="140"/>
              <w:left w:type="dxa" w:w="220"/>
              <w:bottom w:type="dxa" w:w="140"/>
              <w:right w:type="dxa" w:w="220"/>
            </w:tcMar>
          </w:tcPr>
          <w:p>
            <w:pPr>
              <w:spacing w:after="40"/>
            </w:pPr>
            <w:r>
              <w:rPr>
                <w:rFonts w:ascii="Consolas" w:cs="Consolas" w:eastAsia="Consolas" w:hAnsi="Consolas"/>
                <w:color w:val="D4D4D4"/>
                <w:sz w:val="18"/>
                <w:szCs w:val="18"/>
              </w:rPr>
              <w:t xml:space="preserve">$mysqli = new mysqli("localhost", "admin", "P@ssw0rd123", "clients");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D4D4D4"/>
                <w:sz w:val="18"/>
                <w:szCs w:val="18"/>
              </w:rPr>
              <w:t xml:space="preserve">$result = $mysqli-&gt;query("SELECT * FROM clients");</w:t>
            </w:r>
          </w:p>
        </w:tc>
      </w:tr>
    </w:tbl>
    <w:p>
      <w:pPr>
        <w:spacing w:after="140"/>
      </w:pPr>
    </w:p>
    <w:p>
      <w:pPr>
        <w:spacing w:after="14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Ce que j'ai identifié comme correct : ______________________________________________________________________</w:t>
      </w:r>
    </w:p>
    <w:p>
      <w:pPr>
        <w:spacing w:after="14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Ce que j'ai identifié comme faux/dangereux : ________________________________________________________________</w:t>
      </w:r>
    </w:p>
    <w:p>
      <w:pPr>
        <w:spacing w:after="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Comment j'aurais pu le repérer sans l'IA : ___________________________________________________________________</w:t>
      </w:r>
    </w:p>
    <w:p>
      <w:pPr>
        <w:spacing w:after="200"/>
      </w:pPr>
    </w:p>
    <w:p>
      <w:r>
        <w:br w:type="page"/>
      </w:r>
    </w:p>
    <w:p>
      <w:pPr>
        <w:pStyle w:val="Heading1"/>
        <w:pBdr>
          <w:bottom w:val="single" w:color="1A1A1A" w:sz="6" w:space="4"/>
        </w:pBdr>
        <w:spacing w:after="160" w:before="320"/>
      </w:pPr>
      <w:r>
        <w:rPr>
          <w:b/>
          <w:bCs/>
          <w:color w:val="1A1A1A"/>
          <w:sz w:val="28"/>
          <w:szCs w:val="28"/>
        </w:rPr>
        <w:t xml:space="preserve">7. Points de vigilance à retenir</w:t>
      </w:r>
    </w:p>
    <w:tbl>
      <w:tblPr>
        <w:tblW w:type="pct" w:w="100%"/>
        <w:tblBorders>
          <w:top w:val="single" w:color="FBEAE8" w:sz="2"/>
          <w:left w:val="single" w:color="FBEAE8" w:sz="2"/>
          <w:bottom w:val="single" w:color="FBEAE8" w:sz="2"/>
          <w:right w:val="single" w:color="FBEAE8" w:sz="2"/>
          <w:insideH w:val="none" w:color="FBEAE8" w:sz="0"/>
          <w:insideV w:val="none" w:color="FBEAE8" w:sz="0"/>
        </w:tblBorders>
      </w:tblPr>
      <w:tblGrid>
        <w:gridCol w:w="9500"/>
      </w:tblGrid>
      <w:tr>
        <w:tc>
          <w:tcPr>
            <w:tcW w:type="pct" w:w="100%"/>
            <w:tcBorders>
              <w:top w:val="none" w:color="FBEAE8" w:sz="0"/>
              <w:left w:val="single" w:color="C0392B" w:sz="36"/>
              <w:bottom w:val="none" w:color="FBEAE8" w:sz="0"/>
              <w:right w:val="none" w:color="FBEAE8" w:sz="0"/>
            </w:tcBorders>
            <w:shd w:fill="FBEAE8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C0392B"/>
                <w:sz w:val="20"/>
                <w:szCs w:val="20"/>
              </w:rPr>
              <w:t xml:space="preserve">🔒  </w:t>
            </w:r>
            <w:r>
              <w:rPr>
                <w:b/>
                <w:bCs/>
                <w:color w:val="C0392B"/>
                <w:sz w:val="20"/>
                <w:szCs w:val="20"/>
              </w:rPr>
              <w:t xml:space="preserve">Confidentialité — à ne jamais coller dans un prompt public</w:t>
            </w:r>
          </w:p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Données personnelles, code source ou identifiants d'entreprise, mots de passe, clés API, documents confidentiels.</w:t>
            </w:r>
          </w:p>
        </w:tc>
      </w:tr>
    </w:tbl>
    <w:p>
      <w:pPr>
        <w:spacing w:after="120"/>
      </w:pPr>
    </w:p>
    <w:tbl>
      <w:tblPr>
        <w:tblW w:type="pct" w:w="100%"/>
        <w:tblBorders>
          <w:top w:val="single" w:color="FDF1E3" w:sz="2"/>
          <w:left w:val="single" w:color="FDF1E3" w:sz="2"/>
          <w:bottom w:val="single" w:color="FDF1E3" w:sz="2"/>
          <w:right w:val="single" w:color="FDF1E3" w:sz="2"/>
          <w:insideH w:val="none" w:color="FDF1E3" w:sz="0"/>
          <w:insideV w:val="none" w:color="FDF1E3" w:sz="0"/>
        </w:tblBorders>
      </w:tblPr>
      <w:tblGrid>
        <w:gridCol w:w="9500"/>
      </w:tblGrid>
      <w:tr>
        <w:tc>
          <w:tcPr>
            <w:tcW w:type="pct" w:w="100%"/>
            <w:tcBorders>
              <w:top w:val="none" w:color="FDF1E3" w:sz="0"/>
              <w:left w:val="single" w:color="E07B00" w:sz="36"/>
              <w:bottom w:val="none" w:color="FDF1E3" w:sz="0"/>
              <w:right w:val="none" w:color="FDF1E3" w:sz="0"/>
            </w:tcBorders>
            <w:shd w:fill="FDF1E3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E07B00"/>
                <w:sz w:val="20"/>
                <w:szCs w:val="20"/>
              </w:rPr>
              <w:t xml:space="preserve">⚠  </w:t>
            </w:r>
            <w:r>
              <w:rPr>
                <w:b/>
                <w:bCs/>
                <w:color w:val="E07B00"/>
                <w:sz w:val="20"/>
                <w:szCs w:val="20"/>
              </w:rPr>
              <w:t xml:space="preserve">Propriété intellectuelle et dépendance</w:t>
            </w:r>
          </w:p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Le contenu généré peut reprendre des éléments protégés par le droit d'auteur : vérifiez avant toute réutilisation professionnelle.</w:t>
            </w:r>
          </w:p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Utiliser l'IA pour comprendre plus vite est sain ; l'utiliser pour éviter d'apprendre est un piège pour votre employabilité.</w:t>
            </w:r>
          </w:p>
        </w:tc>
      </w:tr>
    </w:tbl>
    <w:p>
      <w:pPr>
        <w:spacing w:after="200"/>
      </w:pPr>
    </w:p>
    <w:p>
      <w:pPr>
        <w:pStyle w:val="Heading1"/>
        <w:pBdr>
          <w:bottom w:val="single" w:color="1A1A1A" w:sz="6" w:space="4"/>
        </w:pBdr>
        <w:spacing w:after="160" w:before="320"/>
      </w:pPr>
      <w:r>
        <w:rPr>
          <w:b/>
          <w:bCs/>
          <w:color w:val="1A1A1A"/>
          <w:sz w:val="28"/>
          <w:szCs w:val="28"/>
        </w:rPr>
        <w:t xml:space="preserve">8. Combien coûte l'IA ?</w:t>
      </w:r>
    </w:p>
    <w:p>
      <w:pPr>
        <w:spacing w:after="10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Derrière la barre de prompt gratuite ou à 20 €/mois se cachent des coûts très différents selon qui les supporte.</w:t>
      </w:r>
    </w:p>
    <w:p>
      <w:pPr>
        <w:spacing w:after="10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3800"/>
        <w:gridCol w:w="3700"/>
      </w:tblGrid>
      <w:tr>
        <w:trPr>
          <w:tblHeader/>
        </w:trPr>
        <w:tc>
          <w:tcPr>
            <w:tcW w:type="dxa" w:w="2000"/>
            <w:shd w:fill="1A1A1A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/>
            </w:r>
          </w:p>
        </w:tc>
        <w:tc>
          <w:tcPr>
            <w:tcW w:type="dxa" w:w="3800"/>
            <w:shd w:fill="1A1A1A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Côté éditeur (entraîner un modèle)</w:t>
            </w:r>
          </w:p>
        </w:tc>
        <w:tc>
          <w:tcPr>
            <w:tcW w:type="dxa" w:w="3700"/>
            <w:shd w:fill="1A1A1A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Côté entreprise (héberger en interne)</w:t>
            </w:r>
          </w:p>
        </w:tc>
      </w:tr>
      <w:tr>
        <w:tc>
          <w:tcPr>
            <w:tcW w:type="dxa" w:w="2000"/>
            <w:shd w:fill="F2F2F2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>Coût principal</w:t>
            </w:r>
          </w:p>
        </w:tc>
        <w:tc>
          <w:tcPr>
            <w:tcW w:type="dxa" w:w="3800"/>
            <w:shd w:fill="F2F2F2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>Dizaines à centaines de millions de dollars par grand modèle (données, GPU, chercheurs)</w:t>
            </w:r>
          </w:p>
        </w:tc>
        <w:tc>
          <w:tcPr>
            <w:tcW w:type="dxa" w:w="3700"/>
            <w:shd w:fill="F2F2F2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>Matériel GPU : de quelques milliers à plusieurs dizaines de milliers d'euros selon la puissance visée</w:t>
            </w:r>
          </w:p>
        </w:tc>
      </w:tr>
      <w:tr>
        <w:tc>
          <w:tcPr>
            <w:tcW w:type="dxa" w:w="20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>Autre poste</w:t>
            </w:r>
          </w:p>
        </w:tc>
        <w:tc>
          <w:tcPr>
            <w:tcW w:type="dxa" w:w="38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>Consommation électrique considérable, data centers dédiés</w:t>
            </w:r>
          </w:p>
        </w:tc>
        <w:tc>
          <w:tcPr>
            <w:tcW w:type="dxa" w:w="370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>Consommation électrique, refroidissement, compétences d'administration</w:t>
            </w:r>
          </w:p>
        </w:tc>
      </w:tr>
    </w:tbl>
    <w:p>
      <w:pPr>
        <w:spacing w:after="140"/>
      </w:pPr>
    </w:p>
    <w:p>
      <w:pPr>
        <w:spacing w:after="8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Pour une entreprise qui utilise une IA externe (sans rien héberger), le coût se répartit ainsi :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  <w:sz w:val="20"/>
          <w:szCs w:val="20"/>
        </w:rPr>
        <w:t xml:space="preserve">Abonnement individuel : environ 20 €/mois par utilisateur pour les offres « Pro » grand public.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  <w:sz w:val="20"/>
          <w:szCs w:val="20"/>
        </w:rPr>
        <w:t xml:space="preserve">Offre entreprise : souvent 25-30 €/utilisateur/mois — en échange de garanties de confidentialité renforcées et d'une administration centralisée.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  <w:sz w:val="20"/>
          <w:szCs w:val="20"/>
        </w:rPr>
        <w:t xml:space="preserve">API à la consommation : facturée au volume de texte échangé (en tokens) et à la charge serveur — le coût suit l'usage réel, avec un risque de facture imprévisible sans plafond.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 w:val="false"/>
          <w:bCs w:val="false"/>
          <w:sz w:val="20"/>
          <w:szCs w:val="20"/>
        </w:rPr>
        <w:t xml:space="preserve">Coûts cachés : formation des équipes, adaptation des processus, développement d'intégrations.</w:t>
      </w:r>
    </w:p>
    <w:p>
      <w:pPr>
        <w:spacing w:after="140"/>
      </w:pPr>
    </w:p>
    <w:tbl>
      <w:tblPr>
        <w:tblW w:type="pct" w:w="100%"/>
        <w:tblBorders>
          <w:top w:val="single" w:color="FDF1E3" w:sz="2"/>
          <w:left w:val="single" w:color="FDF1E3" w:sz="2"/>
          <w:bottom w:val="single" w:color="FDF1E3" w:sz="2"/>
          <w:right w:val="single" w:color="FDF1E3" w:sz="2"/>
          <w:insideH w:val="none" w:color="FDF1E3" w:sz="0"/>
          <w:insideV w:val="none" w:color="FDF1E3" w:sz="0"/>
        </w:tblBorders>
      </w:tblPr>
      <w:tblGrid>
        <w:gridCol w:w="9500"/>
      </w:tblGrid>
      <w:tr>
        <w:tc>
          <w:tcPr>
            <w:tcW w:type="pct" w:w="100%"/>
            <w:tcBorders>
              <w:top w:val="none" w:color="FDF1E3" w:sz="0"/>
              <w:left w:val="single" w:color="E07B00" w:sz="36"/>
              <w:bottom w:val="none" w:color="FDF1E3" w:sz="0"/>
              <w:right w:val="none" w:color="FDF1E3" w:sz="0"/>
            </w:tcBorders>
            <w:shd w:fill="FDF1E3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E07B00"/>
                <w:sz w:val="20"/>
                <w:szCs w:val="20"/>
              </w:rPr>
              <w:t xml:space="preserve">📉  </w:t>
            </w:r>
            <w:r>
              <w:rPr>
                <w:b/>
                <w:bCs/>
                <w:color w:val="E07B00"/>
                <w:sz w:val="20"/>
                <w:szCs w:val="20"/>
              </w:rPr>
              <w:t xml:space="preserve">Un modèle économique difficile à prévoir</w:t>
            </w:r>
          </w:p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En 2026, plusieurs éditeurs majeurs (Anthropic, OpenAI, GitHub) ont basculé leurs offres vers la facturation au token, remplaçant les abonnements illimités : le coût dépend directement du volume consommé et de la charge serveur.</w:t>
            </w:r>
          </w:p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Les tarifs grand public ne reflètent pas le coût réel de calcul : plusieurs analyses 2026 rapportent que des abonnements intensivement utilisés (y compris des offres autour de 200 $/mois) peuvent générer plusieurs milliers de dollars de coût d'inférence réel pour l'éditeur — un déséquilibre qui n'est pas soutenable indéfiniment et pourrait se traduire par une hausse des tarifs à moyen terme.</w:t>
            </w:r>
          </w:p>
        </w:tc>
      </w:tr>
    </w:tbl>
    <w:p>
      <w:pPr>
        <w:spacing w:after="140"/>
      </w:pPr>
    </w:p>
    <w:tbl>
      <w:tblPr>
        <w:tblW w:type="pct" w:w="100%"/>
        <w:tblBorders>
          <w:top w:val="single" w:color="FDF1E3" w:sz="2"/>
          <w:left w:val="single" w:color="FDF1E3" w:sz="2"/>
          <w:bottom w:val="single" w:color="FDF1E3" w:sz="2"/>
          <w:right w:val="single" w:color="FDF1E3" w:sz="2"/>
          <w:insideH w:val="none" w:color="FDF1E3" w:sz="0"/>
          <w:insideV w:val="none" w:color="FDF1E3" w:sz="0"/>
        </w:tblBorders>
      </w:tblPr>
      <w:tblGrid>
        <w:gridCol w:w="9500"/>
      </w:tblGrid>
      <w:tr>
        <w:tc>
          <w:tcPr>
            <w:tcW w:type="pct" w:w="100%"/>
            <w:tcBorders>
              <w:top w:val="none" w:color="FDF1E3" w:sz="0"/>
              <w:left w:val="single" w:color="E07B00" w:sz="36"/>
              <w:bottom w:val="none" w:color="FDF1E3" w:sz="0"/>
              <w:right w:val="none" w:color="FDF1E3" w:sz="0"/>
            </w:tcBorders>
            <w:shd w:fill="FDF1E3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E07B00"/>
                <w:sz w:val="20"/>
                <w:szCs w:val="20"/>
              </w:rPr>
              <w:t xml:space="preserve">🌍  </w:t>
            </w:r>
            <w:r>
              <w:rPr>
                <w:b/>
                <w:bCs/>
                <w:color w:val="E07B00"/>
                <w:sz w:val="20"/>
                <w:szCs w:val="20"/>
              </w:rPr>
              <w:t xml:space="preserve">Impact écologique</w:t>
            </w:r>
          </w:p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Consommation électrique de l'entraînement et de chaque requête d'inférence ; consommation en eau pour le refroidissement des data centers, un enjeu croissant dans les zones en stress hydrique.</w:t>
            </w:r>
          </w:p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L'empreinte carbone dépend fortement du mix énergétique local du data center utilisé. À mesure que l'IA générative se généralise, cette empreinte environnementale globale devient un enjeu de soutenabilité à part entière.</w:t>
            </w:r>
          </w:p>
        </w:tc>
      </w:tr>
    </w:tbl>
    <w:p>
      <w:pPr>
        <w:spacing w:after="140"/>
      </w:pPr>
    </w:p>
    <w:tbl>
      <w:tblPr>
        <w:tblW w:type="pct" w:w="100%"/>
        <w:tblBorders>
          <w:top w:val="single" w:color="FBEAE8" w:sz="2"/>
          <w:left w:val="single" w:color="FBEAE8" w:sz="2"/>
          <w:bottom w:val="single" w:color="FBEAE8" w:sz="2"/>
          <w:right w:val="single" w:color="FBEAE8" w:sz="2"/>
          <w:insideH w:val="none" w:color="FBEAE8" w:sz="0"/>
          <w:insideV w:val="none" w:color="FBEAE8" w:sz="0"/>
        </w:tblBorders>
      </w:tblPr>
      <w:tblGrid>
        <w:gridCol w:w="9500"/>
      </w:tblGrid>
      <w:tr>
        <w:tc>
          <w:tcPr>
            <w:tcW w:type="pct" w:w="100%"/>
            <w:tcBorders>
              <w:top w:val="none" w:color="FBEAE8" w:sz="0"/>
              <w:left w:val="single" w:color="C0392B" w:sz="36"/>
              <w:bottom w:val="none" w:color="FBEAE8" w:sz="0"/>
              <w:right w:val="none" w:color="FBEAE8" w:sz="0"/>
            </w:tcBorders>
            <w:shd w:fill="FBEAE8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C0392B"/>
                <w:sz w:val="20"/>
                <w:szCs w:val="20"/>
              </w:rPr>
              <w:t xml:space="preserve">⚠  </w:t>
            </w:r>
            <w:r>
              <w:rPr>
                <w:b/>
                <w:bCs/>
                <w:color w:val="C0392B"/>
                <w:sz w:val="20"/>
                <w:szCs w:val="20"/>
              </w:rPr>
              <w:t xml:space="preserve">Où vont les données transmises à une IA externe ?</w:t>
            </w:r>
          </w:p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Elles transitent — et parfois séjournent — sur des serveurs souvent hors Union Européenne. Selon l'offre, les échanges peuvent servir à ré-entraîner le modèle (à vérifier dans les CGU). Un risque supplémentaire, très fréquent en pratique : le « Shadow AI », des outils utilisés par les employés sans validation de l'entreprise.</w:t>
            </w:r>
          </w:p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Bonnes pratiques : privilégier les offres « entreprise » avec garanties contractuelles (DPA, localisation des données), désactiver l'entraînement sur les données quand l'option existe, et envisager l'auto-hébergement pour les données les plus sensibles.</w:t>
            </w:r>
          </w:p>
        </w:tc>
      </w:tr>
    </w:tbl>
    <w:p>
      <w:pPr>
        <w:spacing w:after="200"/>
      </w:pPr>
    </w:p>
    <w:tbl>
      <w:tblPr>
        <w:tblW w:type="pct" w:w="100%"/>
        <w:tblBorders>
          <w:top w:val="single" w:color="EAF4EA" w:sz="2"/>
          <w:left w:val="single" w:color="EAF4EA" w:sz="2"/>
          <w:bottom w:val="single" w:color="EAF4EA" w:sz="2"/>
          <w:right w:val="single" w:color="EAF4EA" w:sz="2"/>
          <w:insideH w:val="none" w:color="EAF4EA" w:sz="0"/>
          <w:insideV w:val="none" w:color="EAF4EA" w:sz="0"/>
        </w:tblBorders>
      </w:tblPr>
      <w:tblGrid>
        <w:gridCol w:w="9500"/>
      </w:tblGrid>
      <w:tr>
        <w:tc>
          <w:tcPr>
            <w:tcW w:type="pct" w:w="100%"/>
            <w:tcBorders>
              <w:top w:val="none" w:color="EAF4EA" w:sz="0"/>
              <w:left w:val="single" w:color="2E7D32" w:sz="36"/>
              <w:bottom w:val="none" w:color="EAF4EA" w:sz="0"/>
              <w:right w:val="none" w:color="EAF4EA" w:sz="0"/>
            </w:tcBorders>
            <w:shd w:fill="EAF4EA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2E7D32"/>
                <w:sz w:val="20"/>
                <w:szCs w:val="20"/>
              </w:rPr>
              <w:t xml:space="preserve">✅  </w:t>
            </w:r>
            <w:r>
              <w:rPr>
                <w:b/>
                <w:bCs/>
                <w:color w:val="2E7D32"/>
                <w:sz w:val="20"/>
                <w:szCs w:val="20"/>
              </w:rPr>
              <w:t xml:space="preserve">À retenir absolument</w:t>
            </w:r>
          </w:p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L'IA générative est un assistant, pas un pilote : elle propose, vous décidez.</w:t>
            </w:r>
          </w:p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Pour juger une réponse IA, il faut déjà connaître un minimum le sujet.</w:t>
            </w:r>
          </w:p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« Savoir utiliser l'IA » n'est pas une compétence en soi si elle n'est pas adossée à une compétence métier.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1A1A1A" w:sz="6" w:space="4"/>
        </w:pBdr>
        <w:spacing w:after="160" w:before="320"/>
      </w:pPr>
      <w:r>
        <w:rPr>
          <w:b/>
          <w:bCs/>
          <w:color w:val="1A1A1A"/>
          <w:sz w:val="28"/>
          <w:szCs w:val="28"/>
        </w:rPr>
        <w:t xml:space="preserve">Pour la séance 2</w:t>
      </w:r>
    </w:p>
    <w:p>
      <w:pPr>
        <w:spacing w:after="10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La prochaine séance abordera les usages concrets de l'IA dans le métier SISR ou SLAM, la cybersécurité, la question de la souveraineté des données (IA cloud vs IA auto-hébergée) — en préparation de l'étude finale : explorer et évaluer l'IA générative.</w:t>
      </w:r>
    </w:p>
    <w:sectPr>
      <w:headerReference w:type="default" r:id="rId7"/>
      <w:footerReference w:type="default" r:id="rId8"/>
      <w:pgSz w:w="11906" w:h="16838" w:orient="portrait"/>
      <w:pgMar w:top="1400" w:right="1100" w:bottom="12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9D9" w:sz="4" w:space="4"/>
      </w:pBdr>
      <w:tabs>
        <w:tab w:val="right" w:pos="9026"/>
      </w:tabs>
    </w:pPr>
    <w:r>
      <w:rPr>
        <w:color w:val="595959"/>
        <w:sz w:val="16"/>
        <w:szCs w:val="16"/>
      </w:rPr>
      <w:t xml:space="preserve">Livret étudiant — Séance 1 : L'IA générative, ce qu'elle sait vraiment faire — Bruno Jousseaume</w:t>
    </w:r>
    <w:r>
      <w:rPr>
        <w:sz w:val="16"/>
        <w:szCs w:val="16"/>
      </w:rPr>
      <w:t xml:space="preserve">	</w:t>
    </w:r>
    <w:r>
      <w:rPr>
        <w:color w:val="595959"/>
        <w:sz w:val="16"/>
        <w:szCs w:val="16"/>
      </w:rPr>
      <w:t xml:space="preserve">Page </w:t>
    </w:r>
    <w:r>
      <w:rPr>
        <w:color w:val="59595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595959"/>
        <w:sz w:val="16"/>
        <w:szCs w:val="16"/>
      </w:rPr>
      <w:t xml:space="preserve"> / </w:t>
    </w:r>
    <w:r>
      <w:rPr>
        <w:color w:val="595959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pct" w:w="100%"/>
      <w:tblBorders>
        <w:top w:val="none" w:sz="0"/>
        <w:left w:val="none" w:sz="0"/>
        <w:bottom w:val="none" w:sz="0"/>
        <w:right w:val="none" w:sz="0"/>
        <w:insideH w:val="none" w:sz="0"/>
        <w:insideV w:val="none" w:sz="0"/>
      </w:tblBorders>
    </w:tblPr>
    <w:tblGrid>
      <w:gridCol w:w="1800"/>
      <w:gridCol w:w="7700"/>
    </w:tblGrid>
    <w:tr>
      <w:tc>
        <w:tcPr>
          <w:tcW w:type="dxa" w:w="1800"/>
          <w:shd w:fill="1A1A1A" w:val="clear"/>
          <w:tcMar>
            <w:top w:type="dxa" w:w="100"/>
            <w:left w:type="dxa" w:w="160"/>
            <w:bottom w:type="dxa" w:w="100"/>
            <w:right w:type="dxa" w:w="120"/>
          </w:tcMar>
          <w:vAlign w:val="center"/>
        </w:tcPr>
        <w:p>
          <w:r>
            <w:rPr>
              <w:b/>
              <w:bCs/>
              <w:color w:val="FFFFFF"/>
              <w:sz w:val="20"/>
              <w:szCs w:val="20"/>
            </w:rPr>
            <w:t xml:space="preserve">BTS SIO</w:t>
          </w:r>
        </w:p>
        <w:p>
          <w:r>
            <w:rPr>
              <w:color w:val="D9D9D9"/>
              <w:sz w:val="16"/>
              <w:szCs w:val="16"/>
            </w:rPr>
            <w:t xml:space="preserve">SISR</w:t>
          </w:r>
        </w:p>
      </w:tc>
      <w:tc>
        <w:tcPr>
          <w:tcW w:type="dxa" w:w="7700"/>
          <w:shd w:fill="595959" w:val="clear"/>
          <w:tcMar>
            <w:top w:type="dxa" w:w="100"/>
            <w:left w:type="dxa" w:w="160"/>
            <w:bottom w:type="dxa" w:w="100"/>
            <w:right w:type="dxa" w:w="160"/>
          </w:tcMar>
          <w:vAlign w:val="center"/>
        </w:tcPr>
        <w:p>
          <w:r>
            <w:rPr>
              <w:b/>
              <w:bCs/>
              <w:color w:val="FFFFFF"/>
              <w:sz w:val="18"/>
              <w:szCs w:val="18"/>
            </w:rPr>
            <w:t xml:space="preserve">Livret étudiant — Séance 1 : L'IA générative, ce qu'elle sait vraiment faire</w:t>
          </w:r>
        </w:p>
      </w:tc>
    </w:tr>
  </w:tbl>
  <w:p>
    <w:pPr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2026-09-03T07:58:55.866Z</dcterms:created>
  <dcterms:modified xsi:type="dcterms:W3CDTF">2026-09-03T07:58:55.866Z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