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 w:before="200"/>
      </w:pPr>
      <w:r>
        <w:rPr>
          <w:rFonts w:ascii="Calibri" w:cs="Calibri" w:eastAsia="Calibri" w:hAnsi="Calibri"/>
          <w:b/>
          <w:bCs/>
          <w:color w:val="C97A2B"/>
          <w:sz w:val="22"/>
          <w:szCs w:val="22"/>
        </w:rPr>
        <w:t xml:space="preserve">BTS SIO 1RE ANNÉE — SISR</w:t>
      </w:r>
    </w:p>
    <w:p>
      <w:pPr>
        <w:spacing w:after="100"/>
      </w:pPr>
      <w:r>
        <w:rPr>
          <w:rFonts w:ascii="Calibri" w:cs="Calibri" w:eastAsia="Calibri" w:hAnsi="Calibri"/>
          <w:b/>
          <w:bCs/>
          <w:color w:val="1A1A1A"/>
          <w:sz w:val="34"/>
          <w:szCs w:val="34"/>
        </w:rPr>
        <w:t xml:space="preserve">Installer et prendre en main DBeaver</w:t>
      </w:r>
    </w:p>
    <w:p>
      <w:pPr>
        <w:spacing w:after="300"/>
      </w:pPr>
      <w:r>
        <w:rPr>
          <w:rFonts w:ascii="Calibri" w:cs="Calibri" w:eastAsia="Calibri" w:hAnsi="Calibri"/>
          <w:color w:val="3F3F3F"/>
          <w:sz w:val="22"/>
          <w:szCs w:val="22"/>
        </w:rPr>
        <w:t xml:space="preserve">De l'installation à la première requête sur la base du lycée</w:t>
      </w:r>
    </w:p>
    <w:tbl>
      <w:tblPr>
        <w:tblW w:type="pct" w:w="100%"/>
        <w:tblBorders>
          <w:top w:val="single" w:color="CCCCCC" w:sz="6"/>
          <w:left w:val="single" w:color="CCCCCC" w:sz="6"/>
          <w:bottom w:val="single" w:color="CCCCCC" w:sz="6"/>
          <w:right w:val="single" w:color="CCCCCC" w:sz="6"/>
          <w:insideH w:val="single" w:color="CCCCCC" w:sz="6"/>
          <w:insideV w:val="single" w:color="CCCCCC" w:sz="6"/>
        </w:tblBorders>
      </w:tblPr>
      <w:tblGrid>
        <w:gridCol w:w="100"/>
        <w:gridCol w:w="100"/>
        <w:gridCol w:w="100"/>
        <w:gridCol w:w="100"/>
      </w:tblGrid>
      <w:tr>
        <w:tc>
          <w:tcPr>
            <w:tcW w:type="pct" w:w="25%"/>
            <w:tcMar>
              <w:top w:type="dxa" w:w="100"/>
              <w:left w:type="dxa" w:w="150"/>
              <w:bottom w:type="dxa" w:w="10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Nom :</w:t>
            </w:r>
          </w:p>
        </w:tc>
        <w:tc>
          <w:tcPr>
            <w:tcW w:type="pct" w:w="25%"/>
            <w:tcMar>
              <w:top w:type="dxa" w:w="100"/>
              <w:left w:type="dxa" w:w="150"/>
              <w:bottom w:type="dxa" w:w="10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Prénom :</w:t>
            </w:r>
          </w:p>
        </w:tc>
        <w:tc>
          <w:tcPr>
            <w:tcW w:type="pct" w:w="25%"/>
            <w:tcMar>
              <w:top w:type="dxa" w:w="100"/>
              <w:left w:type="dxa" w:w="150"/>
              <w:bottom w:type="dxa" w:w="10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Classe :</w:t>
            </w:r>
          </w:p>
        </w:tc>
        <w:tc>
          <w:tcPr>
            <w:tcW w:type="pct" w:w="25%"/>
            <w:tcMar>
              <w:top w:type="dxa" w:w="100"/>
              <w:left w:type="dxa" w:w="150"/>
              <w:bottom w:type="dxa" w:w="10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Date :</w:t>
            </w:r>
          </w:p>
        </w:tc>
      </w:tr>
    </w:tbl>
    <w:p>
      <w:pPr>
        <w:spacing w:after="240"/>
      </w:pPr>
      <w:r>
        <w:t xml:space="preserve"/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W w:type="pct" w:w="100%"/>
            <w:tcBorders>
              <w:top w:val="none" w:color="FFFFFF" w:sz="0"/>
              <w:left w:val="single" w:color="3E7C59" w:sz="36"/>
              <w:bottom w:val="none" w:color="FFFFFF" w:sz="0"/>
              <w:right w:val="none" w:color="FFFFFF" w:sz="0"/>
            </w:tcBorders>
            <w:shd w:fill="EAF3ED" w:color="auto" w:val="clear"/>
            <w:tcMar>
              <w:top w:type="dxa" w:w="160"/>
              <w:left w:type="dxa" w:w="260"/>
              <w:bottom w:type="dxa" w:w="160"/>
              <w:right w:type="dxa" w:w="260"/>
            </w:tcMar>
          </w:tcPr>
          <w:p>
            <w:pPr>
              <w:spacing w:after="80"/>
            </w:pPr>
            <w:r>
              <w:rPr>
                <w:rFonts w:ascii="Calibri" w:cs="Calibri" w:eastAsia="Calibri" w:hAnsi="Calibri"/>
                <w:b/>
                <w:bCs/>
                <w:color w:val="3E7C59"/>
                <w:sz w:val="21"/>
                <w:szCs w:val="21"/>
              </w:rPr>
              <w:t xml:space="preserve">Objectifs de la séance</w:t>
            </w:r>
          </w:p>
          <w:p>
            <w:pPr>
              <w:spacing w:after="100"/>
            </w:pPr>
            <w:r>
              <w:rPr>
                <w:rFonts w:ascii="Calibri" w:cs="Calibri" w:eastAsia="Calibri" w:hAnsi="Calibri"/>
                <w:color w:val="2B2B2B"/>
                <w:sz w:val="20"/>
                <w:szCs w:val="20"/>
              </w:rPr>
              <w:t xml:space="preserve">Savoir expliquer ce qu'est DBeaver et pourquoi il expose moins le serveur que phpMyAdmin.</w:t>
            </w:r>
          </w:p>
          <w:p>
            <w:pPr>
              <w:spacing w:after="100"/>
            </w:pPr>
            <w:r>
              <w:rPr>
                <w:rFonts w:ascii="Calibri" w:cs="Calibri" w:eastAsia="Calibri" w:hAnsi="Calibri"/>
                <w:color w:val="2B2B2B"/>
                <w:sz w:val="20"/>
                <w:szCs w:val="20"/>
              </w:rPr>
              <w:t xml:space="preserve">Savoir installer DBeaver Community sur son poste.</w:t>
            </w:r>
          </w:p>
          <w:p>
            <w:pPr>
              <w:spacing w:after="100"/>
            </w:pPr>
            <w:r>
              <w:rPr>
                <w:rFonts w:ascii="Calibri" w:cs="Calibri" w:eastAsia="Calibri" w:hAnsi="Calibri"/>
                <w:color w:val="2B2B2B"/>
                <w:sz w:val="20"/>
                <w:szCs w:val="20"/>
              </w:rPr>
              <w:t xml:space="preserve">Savoir créer et tester une connexion à une base de données.</w:t>
            </w:r>
          </w:p>
          <w:p>
            <w:pPr>
              <w:spacing w:after="100"/>
            </w:pPr>
            <w:r>
              <w:rPr>
                <w:rFonts w:ascii="Calibri" w:cs="Calibri" w:eastAsia="Calibri" w:hAnsi="Calibri"/>
                <w:color w:val="2B2B2B"/>
                <w:sz w:val="20"/>
                <w:szCs w:val="20"/>
              </w:rPr>
              <w:t xml:space="preserve">Savoir explorer la structure d'une base (tables, colonnes, contraintes, relations).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color w:val="2B2B2B"/>
                <w:sz w:val="20"/>
                <w:szCs w:val="20"/>
              </w:rPr>
              <w:t xml:space="preserve">Savoir écrire et exécuter des requêtes SQL dans l'éditeur, et exporter des résultats.</w:t>
            </w:r>
          </w:p>
        </w:tc>
      </w:tr>
    </w:tbl>
    <w:p>
      <w:pPr>
        <w:spacing w:after="160"/>
      </w:pPr>
      <w:r>
        <w:t xml:space="preserve"/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W w:type="pct" w:w="100%"/>
            <w:tcBorders>
              <w:top w:val="none" w:color="FFFFFF" w:sz="0"/>
              <w:left w:val="single" w:color="C97A2B" w:sz="36"/>
              <w:bottom w:val="none" w:color="FFFFFF" w:sz="0"/>
              <w:right w:val="none" w:color="FFFFFF" w:sz="0"/>
            </w:tcBorders>
            <w:shd w:fill="FBEEDE" w:color="auto" w:val="clear"/>
            <w:tcMar>
              <w:top w:type="dxa" w:w="160"/>
              <w:left w:type="dxa" w:w="260"/>
              <w:bottom w:type="dxa" w:w="160"/>
              <w:right w:type="dxa" w:w="260"/>
            </w:tcMar>
          </w:tcPr>
          <w:p>
            <w:pPr>
              <w:spacing w:after="80"/>
            </w:pPr>
            <w:r>
              <w:rPr>
                <w:rFonts w:ascii="Calibri" w:cs="Calibri" w:eastAsia="Calibri" w:hAnsi="Calibri"/>
                <w:b/>
                <w:bCs/>
                <w:color w:val="C97A2B"/>
                <w:sz w:val="21"/>
                <w:szCs w:val="21"/>
              </w:rPr>
              <w:t xml:space="preserve">Ce livret est un TP guidé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color w:val="2B2B2B"/>
                <w:sz w:val="20"/>
                <w:szCs w:val="20"/>
              </w:rPr>
              <w:t xml:space="preserve">Chaque partie s'accompagne d'une manipulation à réaliser sur son propre poste, avec DBeaver ouvert à côté de ce livret.</w:t>
            </w:r>
          </w:p>
        </w:tc>
      </w:tr>
    </w:tbl>
    <w:p>
      <w:r>
        <w:br w:type="page"/>
      </w:r>
    </w:p>
    <w:p>
      <w:pPr>
        <w:pStyle w:val="Heading1"/>
        <w:shd w:fill="1A1A1A" w:color="auto" w:val="clear"/>
        <w:spacing w:after="200" w:before="400"/>
      </w:pPr>
      <w:r>
        <w:rPr>
          <w:rFonts w:ascii="Calibri" w:cs="Calibri" w:eastAsia="Calibri" w:hAnsi="Calibri"/>
          <w:b/>
          <w:bCs/>
          <w:color w:val="F2B25C"/>
          <w:sz w:val="24"/>
          <w:szCs w:val="24"/>
        </w:rPr>
        <w:t xml:space="preserve">  PRÉAMBULE — </w:t>
      </w:r>
      <w:r>
        <w:rPr>
          <w:rFonts w:ascii="Calibri" w:cs="Calibri" w:eastAsia="Calibri" w:hAnsi="Calibri"/>
          <w:b/>
          <w:bCs/>
          <w:color w:val="FFFFFF"/>
          <w:sz w:val="24"/>
          <w:szCs w:val="24"/>
        </w:rPr>
        <w:t xml:space="preserve">COMPRENDRE L'OUTIL : DBEAVER ET PHPMYADMIN  </w:t>
      </w:r>
    </w:p>
    <w:p>
      <w:pPr>
        <w:spacing w:after="140"/>
      </w:pPr>
      <w:r>
        <w:rPr>
          <w:rFonts w:ascii="Calibri" w:cs="Calibri" w:eastAsia="Calibri" w:hAnsi="Calibri"/>
          <w:color w:val="2B2B2B"/>
          <w:sz w:val="20"/>
          <w:szCs w:val="20"/>
        </w:rPr>
        <w:t xml:space="preserve">Avant d'installer DBeaver, comprenons ce qu'est cet outil, et pourquoi on le préfère à phpMyAdmin pour administrer une base de données — notamment du point de vue de la cybersécurité.</w:t>
      </w:r>
    </w:p>
    <w:p>
      <w:pPr>
        <w:keepNext/>
        <w:spacing w:after="120" w:before="260"/>
      </w:pPr>
      <w:r>
        <w:rPr>
          <w:rFonts w:ascii="Calibri" w:cs="Calibri" w:eastAsia="Calibri" w:hAnsi="Calibri"/>
          <w:b/>
          <w:bCs/>
          <w:color w:val="1B2A4A"/>
          <w:sz w:val="23"/>
          <w:szCs w:val="23"/>
        </w:rPr>
        <w:t xml:space="preserve">0.1 — DBeaver : qu'est-ce que c'est ?</w:t>
      </w:r>
    </w:p>
    <w:p>
      <w:pPr>
        <w:keepNext/>
        <w:spacing w:after="100"/>
      </w:pPr>
      <w:r>
        <w:rPr>
          <w:rFonts w:ascii="Calibri" w:cs="Calibri" w:eastAsia="Calibri" w:hAnsi="Calibri"/>
          <w:color w:val="2B2B2B"/>
          <w:sz w:val="20"/>
          <w:szCs w:val="20"/>
        </w:rPr>
        <w:t xml:space="preserve">DBeaver est un client SQL : une application installée sur le poste de l'administrateur, qui se connecte à un serveur de bases de données pour l'explorer, l'interroger et le gérer.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b/>
          <w:bCs/>
          <w:color w:val="2B2B2B"/>
          <w:sz w:val="20"/>
          <w:szCs w:val="20"/>
        </w:rPr>
        <w:t xml:space="preserve">Universel : </w:t>
      </w:r>
      <w:r>
        <w:rPr>
          <w:rFonts w:ascii="Calibri" w:cs="Calibri" w:eastAsia="Calibri" w:hAnsi="Calibri"/>
          <w:color w:val="2B2B2B"/>
          <w:sz w:val="20"/>
          <w:szCs w:val="20"/>
        </w:rPr>
        <w:t xml:space="preserve">une seule interface pour MySQL, MariaDB, PostgreSQL, SQLite, SQL Server, Oracle… grâce à des pilotes (drivers) JDBC.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b/>
          <w:bCs/>
          <w:color w:val="2B2B2B"/>
          <w:sz w:val="20"/>
          <w:szCs w:val="20"/>
        </w:rPr>
        <w:t xml:space="preserve">Installé sur le poste client : </w:t>
      </w:r>
      <w:r>
        <w:rPr>
          <w:rFonts w:ascii="Calibri" w:cs="Calibri" w:eastAsia="Calibri" w:hAnsi="Calibri"/>
          <w:color w:val="2B2B2B"/>
          <w:sz w:val="20"/>
          <w:szCs w:val="20"/>
        </w:rPr>
        <w:t xml:space="preserve">application de bureau (Windows, macOS, Linux). Rien à installer côté serveur.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b/>
          <w:bCs/>
          <w:color w:val="2B2B2B"/>
          <w:sz w:val="20"/>
          <w:szCs w:val="20"/>
        </w:rPr>
        <w:t xml:space="preserve">Libre et gratuit : </w:t>
      </w:r>
      <w:r>
        <w:rPr>
          <w:rFonts w:ascii="Calibri" w:cs="Calibri" w:eastAsia="Calibri" w:hAnsi="Calibri"/>
          <w:color w:val="2B2B2B"/>
          <w:sz w:val="20"/>
          <w:szCs w:val="20"/>
        </w:rPr>
        <w:t xml:space="preserve">l'édition Community est open source (licence Apache 2.0).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b/>
          <w:bCs/>
          <w:color w:val="2B2B2B"/>
          <w:sz w:val="20"/>
          <w:szCs w:val="20"/>
        </w:rPr>
        <w:t xml:space="preserve">Complet : </w:t>
      </w:r>
      <w:r>
        <w:rPr>
          <w:rFonts w:ascii="Calibri" w:cs="Calibri" w:eastAsia="Calibri" w:hAnsi="Calibri"/>
          <w:color w:val="2B2B2B"/>
          <w:sz w:val="20"/>
          <w:szCs w:val="20"/>
        </w:rPr>
        <w:t xml:space="preserve">éditeur SQL, navigateur de structure, édition des données, diagramme ER, export CSV / Excel / SQL / JSON.</w:t>
      </w:r>
    </w:p>
    <w:p>
      <w:pPr>
        <w:spacing w:after="80"/>
      </w:pP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W w:type="pct" w:w="100%"/>
            <w:tcBorders>
              <w:top w:val="none" w:color="FFFFFF" w:sz="0"/>
              <w:left w:val="single" w:color="3E7C59" w:sz="36"/>
              <w:bottom w:val="none" w:color="FFFFFF" w:sz="0"/>
              <w:right w:val="none" w:color="FFFFFF" w:sz="0"/>
            </w:tcBorders>
            <w:shd w:fill="EAF3ED" w:color="auto" w:val="clear"/>
            <w:tcMar>
              <w:top w:type="dxa" w:w="160"/>
              <w:left w:type="dxa" w:w="260"/>
              <w:bottom w:type="dxa" w:w="160"/>
              <w:right w:type="dxa" w:w="260"/>
            </w:tcMar>
          </w:tcPr>
          <w:p>
            <w:pPr>
              <w:spacing w:after="80"/>
            </w:pPr>
            <w:r>
              <w:rPr>
                <w:rFonts w:ascii="Calibri" w:cs="Calibri" w:eastAsia="Calibri" w:hAnsi="Calibri"/>
                <w:b/>
                <w:bCs/>
                <w:color w:val="3E7C59"/>
                <w:sz w:val="21"/>
                <w:szCs w:val="21"/>
              </w:rPr>
              <w:t xml:space="preserve">Client ou connecteur ?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color w:val="2B2B2B"/>
                <w:sz w:val="20"/>
                <w:szCs w:val="20"/>
              </w:rPr>
              <w:t xml:space="preserve">DBeaver sert aux tâches d'administration et de gestion : créer, structurer, interroger, contrôler une base. Les applications, elles, accèdent à la base par des connecteurs intégrés à leur code (JDBC, PDO, mysql-connector…) — voir le support « Outils de connexion à une base de données ».</w:t>
            </w:r>
          </w:p>
        </w:tc>
      </w:tr>
    </w:tbl>
    <w:p>
      <w:pPr>
        <w:keepNext/>
        <w:spacing w:after="120" w:before="260"/>
      </w:pPr>
      <w:r>
        <w:rPr>
          <w:rFonts w:ascii="Calibri" w:cs="Calibri" w:eastAsia="Calibri" w:hAnsi="Calibri"/>
          <w:b/>
          <w:bCs/>
          <w:color w:val="1B2A4A"/>
          <w:sz w:val="23"/>
          <w:szCs w:val="23"/>
        </w:rPr>
        <w:t xml:space="preserve">0.2 — phpMyAdmin : une application web à déployer</w:t>
      </w:r>
    </w:p>
    <w:p>
      <w:pPr>
        <w:keepNext/>
        <w:spacing w:after="100"/>
      </w:pPr>
      <w:r>
        <w:rPr>
          <w:rFonts w:ascii="Calibri" w:cs="Calibri" w:eastAsia="Calibri" w:hAnsi="Calibri"/>
          <w:color w:val="2B2B2B"/>
          <w:sz w:val="20"/>
          <w:szCs w:val="20"/>
        </w:rPr>
        <w:t xml:space="preserve">phpMyAdmin est une application web écrite en PHP : on l'utilise depuis un navigateur, mais elle s'exécute sur un serveur. Pour qu'elle fonctionne, il faut donc installer et maintenir une chaîne de composants sur ce serveur :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b/>
          <w:bCs/>
          <w:color w:val="2B2B2B"/>
          <w:sz w:val="20"/>
          <w:szCs w:val="20"/>
        </w:rPr>
        <w:t xml:space="preserve">Un serveur web</w:t>
      </w:r>
      <w:r>
        <w:rPr>
          <w:rFonts w:ascii="Calibri" w:cs="Calibri" w:eastAsia="Calibri" w:hAnsi="Calibri"/>
          <w:color w:val="2B2B2B"/>
          <w:sz w:val="20"/>
          <w:szCs w:val="20"/>
        </w:rPr>
        <w:t xml:space="preserve"> (Apache, Nginx) qui reçoit les requêtes HTTP/HTTPS ;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b/>
          <w:bCs/>
          <w:color w:val="2B2B2B"/>
          <w:sz w:val="20"/>
          <w:szCs w:val="20"/>
        </w:rPr>
        <w:t xml:space="preserve">L'interpréteur PHP</w:t>
      </w:r>
      <w:r>
        <w:rPr>
          <w:rFonts w:ascii="Calibri" w:cs="Calibri" w:eastAsia="Calibri" w:hAnsi="Calibri"/>
          <w:color w:val="2B2B2B"/>
          <w:sz w:val="20"/>
          <w:szCs w:val="20"/>
        </w:rPr>
        <w:t xml:space="preserve"> qui exécute le code de l'application ;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b/>
          <w:bCs/>
          <w:color w:val="2B2B2B"/>
          <w:sz w:val="20"/>
          <w:szCs w:val="20"/>
        </w:rPr>
        <w:t xml:space="preserve">L'application phpMyAdmin</w:t>
      </w:r>
      <w:r>
        <w:rPr>
          <w:rFonts w:ascii="Calibri" w:cs="Calibri" w:eastAsia="Calibri" w:hAnsi="Calibri"/>
          <w:color w:val="2B2B2B"/>
          <w:sz w:val="20"/>
          <w:szCs w:val="20"/>
        </w:rPr>
        <w:t xml:space="preserve"> elle-même, qui dialogue ensuite avec le SGBD.</w:t>
      </w:r>
    </w:p>
    <w:p>
      <w:pPr>
        <w:keepNext/>
        <w:spacing w:after="100"/>
      </w:pPr>
      <w:r>
        <w:rPr>
          <w:rFonts w:ascii="Calibri" w:cs="Calibri" w:eastAsia="Calibri" w:hAnsi="Calibri"/>
          <w:color w:val="2B2B2B"/>
          <w:sz w:val="20"/>
          <w:szCs w:val="20"/>
        </w:rPr>
        <w:t xml:space="preserve">Chacun de ces services est à installer, configurer, mettre à jour et surveiller — et chacun peut présenter des failles.</w:t>
      </w:r>
    </w:p>
    <w:p>
      <w:pPr>
        <w:keepNext/>
        <w:spacing w:after="120" w:before="260"/>
      </w:pPr>
      <w:r>
        <w:rPr>
          <w:rFonts w:ascii="Calibri" w:cs="Calibri" w:eastAsia="Calibri" w:hAnsi="Calibri"/>
          <w:b/>
          <w:bCs/>
          <w:color w:val="1B2A4A"/>
          <w:sz w:val="23"/>
          <w:szCs w:val="23"/>
        </w:rPr>
        <w:t xml:space="preserve">0.3 — Comparatif : moins de services, moins de surface d'attaque</w:t>
      </w:r>
    </w:p>
    <w:p>
      <w:pPr>
        <w:keepNext/>
        <w:spacing w:after="100"/>
      </w:pPr>
      <w:r>
        <w:rPr>
          <w:rFonts w:ascii="Calibri" w:cs="Calibri" w:eastAsia="Calibri" w:hAnsi="Calibri"/>
          <w:color w:val="2B2B2B"/>
          <w:sz w:val="20"/>
          <w:szCs w:val="20"/>
        </w:rPr>
        <w:t xml:space="preserve">La surface d'attaque, c'est l'ensemble des points par lesquels un attaquant peut tenter d'entrer. Plus il y a de services exposés, plus elle est grande.</w:t>
      </w:r>
    </w:p>
    <w:tbl>
      <w:tblPr>
        <w:tblW w:type="pct" w:w="100%"/>
        <w:tblBorders>
          <w:top w:val="single" w:color="999999" w:sz="4"/>
          <w:left w:val="single" w:color="999999" w:sz="4"/>
          <w:bottom w:val="single" w:color="999999" w:sz="4"/>
          <w:right w:val="single" w:color="999999" w:sz="4"/>
          <w:insideH w:val="single" w:color="999999" w:sz="4"/>
          <w:insideV w:val="single" w:color="999999" w:sz="4"/>
        </w:tblBorders>
      </w:tblPr>
      <w:tblGrid>
        <w:gridCol w:w="100"/>
        <w:gridCol w:w="100"/>
        <w:gridCol w:w="100"/>
      </w:tblGrid>
      <w:tr>
        <w:trPr>
          <w:cantSplit/>
        </w:trPr>
        <w:tc>
          <w:tcPr>
            <w:tcW w:type="pct" w:w="26%"/>
            <w:shd w:fill="1A1A1A" w:color="auto" w:val="clear"/>
            <w:tcMar>
              <w:top w:type="dxa" w:w="90"/>
              <w:left w:type="dxa" w:w="120"/>
              <w:bottom w:type="dxa" w:w="90"/>
              <w:right w:type="dxa" w:w="8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Critère</w:t>
            </w:r>
          </w:p>
        </w:tc>
        <w:tc>
          <w:tcPr>
            <w:tcW w:type="pct" w:w="37%"/>
            <w:shd w:fill="B3402A" w:color="auto" w:val="clear"/>
            <w:tcMar>
              <w:top w:type="dxa" w:w="90"/>
              <w:left w:type="dxa" w:w="120"/>
              <w:bottom w:type="dxa" w:w="90"/>
              <w:right w:type="dxa" w:w="8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phpMyAdmin</w:t>
            </w:r>
          </w:p>
        </w:tc>
        <w:tc>
          <w:tcPr>
            <w:tcW w:type="pct" w:w="37%"/>
            <w:shd w:fill="3E7C59" w:color="auto" w:val="clear"/>
            <w:tcMar>
              <w:top w:type="dxa" w:w="90"/>
              <w:left w:type="dxa" w:w="120"/>
              <w:bottom w:type="dxa" w:w="90"/>
              <w:right w:type="dxa" w:w="8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DBeaver</w:t>
            </w:r>
          </w:p>
        </w:tc>
      </w:tr>
      <w:tr>
        <w:trPr>
          <w:cantSplit/>
        </w:trPr>
        <w:tc>
          <w:tcPr>
            <w:tcW w:type="pct" w:w="26%"/>
            <w:shd w:fill="F4F4F4" w:color="auto" w:val="clear"/>
            <w:tcMar>
              <w:top w:type="dxa" w:w="90"/>
              <w:left w:type="dxa" w:w="120"/>
              <w:bottom w:type="dxa" w:w="90"/>
              <w:right w:type="dxa" w:w="8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B2B2B"/>
                <w:sz w:val="18"/>
                <w:szCs w:val="18"/>
              </w:rPr>
              <w:t xml:space="preserve">Services ajoutés sur le serveur</w:t>
            </w:r>
          </w:p>
        </w:tc>
        <w:tc>
          <w:tcPr>
            <w:tcW w:type="pct" w:w="37%"/>
            <w:shd w:fill="FBEAE3" w:color="auto" w:val="clear"/>
            <w:tcMar>
              <w:top w:type="dxa" w:w="90"/>
              <w:left w:type="dxa" w:w="120"/>
              <w:bottom w:type="dxa" w:w="90"/>
              <w:right w:type="dxa" w:w="8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2B2B2B"/>
                <w:sz w:val="18"/>
                <w:szCs w:val="18"/>
              </w:rPr>
              <w:t xml:space="preserve">Serveur web + PHP + application phpMyAdmin</w:t>
            </w:r>
          </w:p>
        </w:tc>
        <w:tc>
          <w:tcPr>
            <w:tcW w:type="pct" w:w="37%"/>
            <w:shd w:fill="EAF3ED" w:color="auto" w:val="clear"/>
            <w:tcMar>
              <w:top w:type="dxa" w:w="90"/>
              <w:left w:type="dxa" w:w="120"/>
              <w:bottom w:type="dxa" w:w="90"/>
              <w:right w:type="dxa" w:w="8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2B2B2B"/>
                <w:sz w:val="18"/>
                <w:szCs w:val="18"/>
              </w:rPr>
              <w:t xml:space="preserve">Aucun : seul le SGBD est présent</w:t>
            </w:r>
          </w:p>
        </w:tc>
      </w:tr>
      <w:tr>
        <w:trPr>
          <w:cantSplit/>
        </w:trPr>
        <w:tc>
          <w:tcPr>
            <w:tcW w:type="pct" w:w="26%"/>
            <w:shd w:fill="F4F4F4" w:color="auto" w:val="clear"/>
            <w:tcMar>
              <w:top w:type="dxa" w:w="90"/>
              <w:left w:type="dxa" w:w="120"/>
              <w:bottom w:type="dxa" w:w="90"/>
              <w:right w:type="dxa" w:w="8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B2B2B"/>
                <w:sz w:val="18"/>
                <w:szCs w:val="18"/>
              </w:rPr>
              <w:t xml:space="preserve">Exposition réseau</w:t>
            </w:r>
          </w:p>
        </w:tc>
        <w:tc>
          <w:tcPr>
            <w:tcW w:type="pct" w:w="37%"/>
            <w:shd w:fill="FBEAE3" w:color="auto" w:val="clear"/>
            <w:tcMar>
              <w:top w:type="dxa" w:w="90"/>
              <w:left w:type="dxa" w:w="120"/>
              <w:bottom w:type="dxa" w:w="90"/>
              <w:right w:type="dxa" w:w="8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2B2B2B"/>
                <w:sz w:val="18"/>
                <w:szCs w:val="18"/>
              </w:rPr>
              <w:t xml:space="preserve">Port web 80/443 à ouvrir, en plus du SGBD</w:t>
            </w:r>
          </w:p>
        </w:tc>
        <w:tc>
          <w:tcPr>
            <w:tcW w:type="pct" w:w="37%"/>
            <w:shd w:fill="EAF3ED" w:color="auto" w:val="clear"/>
            <w:tcMar>
              <w:top w:type="dxa" w:w="90"/>
              <w:left w:type="dxa" w:w="120"/>
              <w:bottom w:type="dxa" w:w="90"/>
              <w:right w:type="dxa" w:w="8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2B2B2B"/>
                <w:sz w:val="18"/>
                <w:szCs w:val="18"/>
              </w:rPr>
              <w:t xml:space="preserve">Port du SGBD restreint, ou fermé avec un tunnel SSH</w:t>
            </w:r>
          </w:p>
        </w:tc>
      </w:tr>
      <w:tr>
        <w:trPr>
          <w:cantSplit/>
        </w:trPr>
        <w:tc>
          <w:tcPr>
            <w:tcW w:type="pct" w:w="26%"/>
            <w:shd w:fill="F4F4F4" w:color="auto" w:val="clear"/>
            <w:tcMar>
              <w:top w:type="dxa" w:w="90"/>
              <w:left w:type="dxa" w:w="120"/>
              <w:bottom w:type="dxa" w:w="90"/>
              <w:right w:type="dxa" w:w="8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B2B2B"/>
                <w:sz w:val="18"/>
                <w:szCs w:val="18"/>
              </w:rPr>
              <w:t xml:space="preserve">Éléments à mettre à jour</w:t>
            </w:r>
          </w:p>
        </w:tc>
        <w:tc>
          <w:tcPr>
            <w:tcW w:type="pct" w:w="37%"/>
            <w:shd w:fill="FBEAE3" w:color="auto" w:val="clear"/>
            <w:tcMar>
              <w:top w:type="dxa" w:w="90"/>
              <w:left w:type="dxa" w:w="120"/>
              <w:bottom w:type="dxa" w:w="90"/>
              <w:right w:type="dxa" w:w="8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2B2B2B"/>
                <w:sz w:val="18"/>
                <w:szCs w:val="18"/>
              </w:rPr>
              <w:t xml:space="preserve">Serveur web, PHP, phpMyAdmin, SGBD</w:t>
            </w:r>
          </w:p>
        </w:tc>
        <w:tc>
          <w:tcPr>
            <w:tcW w:type="pct" w:w="37%"/>
            <w:shd w:fill="EAF3ED" w:color="auto" w:val="clear"/>
            <w:tcMar>
              <w:top w:type="dxa" w:w="90"/>
              <w:left w:type="dxa" w:w="120"/>
              <w:bottom w:type="dxa" w:w="90"/>
              <w:right w:type="dxa" w:w="8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2B2B2B"/>
                <w:sz w:val="18"/>
                <w:szCs w:val="18"/>
              </w:rPr>
              <w:t xml:space="preserve">SGBD, et DBeaver sur le poste d'admin</w:t>
            </w:r>
          </w:p>
        </w:tc>
      </w:tr>
      <w:tr>
        <w:trPr>
          <w:cantSplit/>
        </w:trPr>
        <w:tc>
          <w:tcPr>
            <w:tcW w:type="pct" w:w="26%"/>
            <w:shd w:fill="F4F4F4" w:color="auto" w:val="clear"/>
            <w:tcMar>
              <w:top w:type="dxa" w:w="90"/>
              <w:left w:type="dxa" w:w="120"/>
              <w:bottom w:type="dxa" w:w="90"/>
              <w:right w:type="dxa" w:w="8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B2B2B"/>
                <w:sz w:val="18"/>
                <w:szCs w:val="18"/>
              </w:rPr>
              <w:t xml:space="preserve">Cible d'attaques automatisées</w:t>
            </w:r>
          </w:p>
        </w:tc>
        <w:tc>
          <w:tcPr>
            <w:tcW w:type="pct" w:w="37%"/>
            <w:shd w:fill="FBEAE3" w:color="auto" w:val="clear"/>
            <w:tcMar>
              <w:top w:type="dxa" w:w="90"/>
              <w:left w:type="dxa" w:w="120"/>
              <w:bottom w:type="dxa" w:w="90"/>
              <w:right w:type="dxa" w:w="8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2B2B2B"/>
                <w:sz w:val="18"/>
                <w:szCs w:val="18"/>
              </w:rPr>
              <w:t xml:space="preserve">Adresse /phpmyadmin connue et scannée en continu ; force brute sur la page de connexion</w:t>
            </w:r>
          </w:p>
        </w:tc>
        <w:tc>
          <w:tcPr>
            <w:tcW w:type="pct" w:w="37%"/>
            <w:shd w:fill="EAF3ED" w:color="auto" w:val="clear"/>
            <w:tcMar>
              <w:top w:type="dxa" w:w="90"/>
              <w:left w:type="dxa" w:w="120"/>
              <w:bottom w:type="dxa" w:w="90"/>
              <w:right w:type="dxa" w:w="8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2B2B2B"/>
                <w:sz w:val="18"/>
                <w:szCs w:val="18"/>
              </w:rPr>
              <w:t xml:space="preserve">Pas de page web à scanner ou à attaquer</w:t>
            </w:r>
          </w:p>
        </w:tc>
      </w:tr>
      <w:tr>
        <w:trPr>
          <w:cantSplit/>
        </w:trPr>
        <w:tc>
          <w:tcPr>
            <w:tcW w:type="pct" w:w="26%"/>
            <w:shd w:fill="F4F4F4" w:color="auto" w:val="clear"/>
            <w:tcMar>
              <w:top w:type="dxa" w:w="90"/>
              <w:left w:type="dxa" w:w="120"/>
              <w:bottom w:type="dxa" w:w="90"/>
              <w:right w:type="dxa" w:w="8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B2B2B"/>
                <w:sz w:val="18"/>
                <w:szCs w:val="18"/>
              </w:rPr>
              <w:t xml:space="preserve">Chiffrement des échanges</w:t>
            </w:r>
          </w:p>
        </w:tc>
        <w:tc>
          <w:tcPr>
            <w:tcW w:type="pct" w:w="37%"/>
            <w:shd w:fill="FBEAE3" w:color="auto" w:val="clear"/>
            <w:tcMar>
              <w:top w:type="dxa" w:w="90"/>
              <w:left w:type="dxa" w:w="120"/>
              <w:bottom w:type="dxa" w:w="90"/>
              <w:right w:type="dxa" w:w="8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2B2B2B"/>
                <w:sz w:val="18"/>
                <w:szCs w:val="18"/>
              </w:rPr>
              <w:t xml:space="preserve">HTTPS à configurer (certificat) côté serveur web</w:t>
            </w:r>
          </w:p>
        </w:tc>
        <w:tc>
          <w:tcPr>
            <w:tcW w:type="pct" w:w="37%"/>
            <w:shd w:fill="EAF3ED" w:color="auto" w:val="clear"/>
            <w:tcMar>
              <w:top w:type="dxa" w:w="90"/>
              <w:left w:type="dxa" w:w="120"/>
              <w:bottom w:type="dxa" w:w="90"/>
              <w:right w:type="dxa" w:w="8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2B2B2B"/>
                <w:sz w:val="18"/>
                <w:szCs w:val="18"/>
              </w:rPr>
              <w:t xml:space="preserve">SSL/TLS du SGBD et tunnel SSH intégrés à la connexion</w:t>
            </w:r>
          </w:p>
        </w:tc>
      </w:tr>
    </w:tbl>
    <w:p>
      <w:pPr>
        <w:spacing w:after="80"/>
      </w:pP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W w:type="pct" w:w="100%"/>
            <w:tcBorders>
              <w:top w:val="none" w:color="FFFFFF" w:sz="0"/>
              <w:left w:val="single" w:color="1B2A4A" w:sz="36"/>
              <w:bottom w:val="none" w:color="FFFFFF" w:sz="0"/>
              <w:right w:val="none" w:color="FFFFFF" w:sz="0"/>
            </w:tcBorders>
            <w:shd w:fill="E7EAF1" w:color="auto" w:val="clear"/>
            <w:tcMar>
              <w:top w:type="dxa" w:w="160"/>
              <w:left w:type="dxa" w:w="260"/>
              <w:bottom w:type="dxa" w:w="160"/>
              <w:right w:type="dxa" w:w="260"/>
            </w:tcMar>
          </w:tcPr>
          <w:p>
            <w:pPr>
              <w:spacing w:after="80"/>
            </w:pPr>
            <w:r>
              <w:rPr>
                <w:rFonts w:ascii="Calibri" w:cs="Calibri" w:eastAsia="Calibri" w:hAnsi="Calibri"/>
                <w:b/>
                <w:bCs/>
                <w:color w:val="1B2A4A"/>
                <w:sz w:val="21"/>
                <w:szCs w:val="21"/>
              </w:rPr>
              <w:t xml:space="preserve">Une contrepartie à connaître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color w:val="2B2B2B"/>
                <w:sz w:val="20"/>
                <w:szCs w:val="20"/>
              </w:rPr>
              <w:t xml:space="preserve">phpMyAdmin tourne sur le serveur et se connecte au SGBD en local : le SGBD peut rester fermé au réseau. DBeaver, lui, est installé sur un autre poste : pour qu'il se connecte, il faut soit autoriser les connexions distantes sur le SGBD (voir 0.4), soit passer par un tunnel SSH. L'essentiel est de le faire de façon restreinte.</w:t>
            </w:r>
          </w:p>
        </w:tc>
      </w:tr>
    </w:tbl>
    <w:p>
      <w:pPr>
        <w:spacing w:after="80"/>
      </w:pPr>
    </w:p>
    <w:p>
      <w:pPr>
        <w:keepNext/>
        <w:spacing w:after="120" w:before="260"/>
      </w:pPr>
      <w:r>
        <w:rPr>
          <w:rFonts w:ascii="Calibri" w:cs="Calibri" w:eastAsia="Calibri" w:hAnsi="Calibri"/>
          <w:b/>
          <w:bCs/>
          <w:color w:val="1B2A4A"/>
          <w:sz w:val="23"/>
          <w:szCs w:val="23"/>
        </w:rPr>
        <w:t xml:space="preserve">0.4 — Autoriser les connexions distantes (côté serveur)</w:t>
      </w:r>
    </w:p>
    <w:p>
      <w:pPr>
        <w:keepNext/>
        <w:spacing w:after="100"/>
      </w:pPr>
      <w:r>
        <w:rPr>
          <w:rFonts w:ascii="Calibri" w:cs="Calibri" w:eastAsia="Calibri" w:hAnsi="Calibri"/>
          <w:color w:val="2B2B2B"/>
          <w:sz w:val="20"/>
          <w:szCs w:val="20"/>
        </w:rPr>
        <w:t xml:space="preserve">DBeaver se connecte depuis le poste de l'administrateur, donc depuis une autre machine que le serveur. Or, par défaut, un SGBD n'accepte souvent que les connexions locales. Trois réglages sont à faire sur le serveur avant que DBeaver puisse s'y connecter.</w:t>
      </w:r>
    </w:p>
    <w:p>
      <w:pPr>
        <w:keepNext/>
        <w:spacing w:after="80" w:before="180"/>
      </w:pPr>
      <w:r>
        <w:rPr>
          <w:rFonts w:ascii="Calibri" w:cs="Calibri" w:eastAsia="Calibri" w:hAnsi="Calibri"/>
          <w:b/>
          <w:bCs/>
          <w:color w:val="C97A2B"/>
          <w:sz w:val="21"/>
          <w:szCs w:val="21"/>
        </w:rPr>
        <w:t xml:space="preserve">Réglage 1 — Faire écouter le SGBD sur le réseau (bind-address)</w:t>
      </w:r>
    </w:p>
    <w:p>
      <w:pPr>
        <w:keepNext/>
        <w:spacing w:after="100"/>
      </w:pPr>
      <w:r>
        <w:rPr>
          <w:rFonts w:ascii="Calibri" w:cs="Calibri" w:eastAsia="Calibri" w:hAnsi="Calibri"/>
          <w:color w:val="2B2B2B"/>
          <w:sz w:val="20"/>
          <w:szCs w:val="20"/>
        </w:rPr>
        <w:t xml:space="preserve">Le paramètre bind-address indique sur quelle adresse le SGBD écoute. Avec 127.0.0.1, seules les connexions de la machine elle-même sont acceptées. On le modifie dans le fichier de configuration (Debian/Ubuntu : mysqld.cnf pour MySQL, 50-server.cnf pour MariaDB ; my.ini sous Windows), puis on redémarre le service.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W w:type="pct" w:w="100%"/>
            <w:shd w:fill="16223B" w:color="auto" w:val="clear"/>
            <w:tcMar>
              <w:top w:type="dxa" w:w="180"/>
              <w:left w:type="dxa" w:w="260"/>
              <w:bottom w:type="dxa" w:w="180"/>
              <w:right w:type="dxa" w:w="260"/>
            </w:tcMar>
          </w:tcPr>
          <w:p>
            <w:pPr>
              <w:spacing w:after="20"/>
            </w:pPr>
            <w:r>
              <w:rPr>
                <w:rFonts w:ascii="Consolas" w:cs="Consolas" w:eastAsia="Consolas" w:hAnsi="Consolas"/>
                <w:color w:val="8B93A7"/>
                <w:sz w:val="19"/>
                <w:szCs w:val="19"/>
              </w:rPr>
              <w:t xml:space="preserve"># fichier de configuration du serveur (section [mysqld])</w:t>
            </w:r>
          </w:p>
          <w:p>
            <w:pPr>
              <w:spacing w:after="20"/>
            </w:pPr>
            <w:r>
              <w:rPr>
                <w:rFonts w:ascii="Consolas" w:cs="Consolas" w:eastAsia="Consolas" w:hAnsi="Consolas"/>
                <w:color w:val="9FE6A0"/>
                <w:sz w:val="19"/>
                <w:szCs w:val="19"/>
              </w:rPr>
              <w:t xml:space="preserve">bind-address = 192.168.1.10</w:t>
            </w:r>
          </w:p>
          <w:p>
            <w:pPr>
              <w:spacing w:after="20"/>
            </w:pPr>
            <w:r>
              <w:rPr>
                <w:rFonts w:ascii="Consolas" w:cs="Consolas" w:eastAsia="Consolas" w:hAnsi="Consolas"/>
                <w:color w:val="8B93A7"/>
                <w:sz w:val="19"/>
                <w:szCs w:val="19"/>
              </w:rPr>
              <w:t xml:space="preserve"># puis redémarrer le service</w:t>
            </w:r>
          </w:p>
          <w:p>
            <w:pPr>
              <w:spacing w:after="20"/>
            </w:pPr>
            <w:r>
              <w:rPr>
                <w:rFonts w:ascii="Consolas" w:cs="Consolas" w:eastAsia="Consolas" w:hAnsi="Consolas"/>
                <w:color w:val="9FE6A0"/>
                <w:sz w:val="19"/>
                <w:szCs w:val="19"/>
              </w:rPr>
              <w:t xml:space="preserve">sudo systemctl restart mysql</w:t>
            </w:r>
          </w:p>
          <w:p>
            <w:pPr>
              <w:spacing w:after="20"/>
            </w:pPr>
            <w:r>
              <w:rPr>
                <w:rFonts w:ascii="Consolas" w:cs="Consolas" w:eastAsia="Consolas" w:hAnsi="Consolas"/>
                <w:color w:val="8B93A7"/>
                <w:sz w:val="19"/>
                <w:szCs w:val="19"/>
              </w:rPr>
              <w:t xml:space="preserve"># vérifier l'adresse d'écoute</w:t>
            </w:r>
          </w:p>
          <w:p>
            <w:pPr>
              <w:spacing w:after="0"/>
            </w:pPr>
            <w:r>
              <w:rPr>
                <w:rFonts w:ascii="Consolas" w:cs="Consolas" w:eastAsia="Consolas" w:hAnsi="Consolas"/>
                <w:color w:val="9FE6A0"/>
                <w:sz w:val="19"/>
                <w:szCs w:val="19"/>
              </w:rPr>
              <w:t xml:space="preserve">ss -tlnp | grep 3306</w:t>
            </w:r>
          </w:p>
        </w:tc>
      </w:tr>
    </w:tbl>
    <w:p>
      <w:pPr>
        <w:spacing w:after="80"/>
      </w:pPr>
    </w:p>
    <w:p>
      <w:pPr>
        <w:keepNext/>
        <w:spacing w:after="100"/>
      </w:pPr>
      <w:r>
        <w:rPr>
          <w:rFonts w:ascii="Calibri" w:cs="Calibri" w:eastAsia="Calibri" w:hAnsi="Calibri"/>
          <w:color w:val="2B2B2B"/>
          <w:sz w:val="20"/>
          <w:szCs w:val="20"/>
        </w:rPr>
        <w:t xml:space="preserve">On indique l'adresse du serveur sur le réseau du lycée plutôt que 0.0.0.0, qui ferait écouter le SGBD sur toutes les interfaces.</w:t>
      </w:r>
    </w:p>
    <w:p>
      <w:pPr>
        <w:keepNext/>
        <w:spacing w:after="80" w:before="180"/>
      </w:pPr>
      <w:r>
        <w:rPr>
          <w:rFonts w:ascii="Calibri" w:cs="Calibri" w:eastAsia="Calibri" w:hAnsi="Calibri"/>
          <w:b/>
          <w:bCs/>
          <w:color w:val="C97A2B"/>
          <w:sz w:val="21"/>
          <w:szCs w:val="21"/>
        </w:rPr>
        <w:t xml:space="preserve">Réglage 2 — Autoriser le compte depuis le poste client</w:t>
      </w:r>
    </w:p>
    <w:p>
      <w:pPr>
        <w:keepNext/>
        <w:spacing w:after="100"/>
      </w:pPr>
      <w:r>
        <w:rPr>
          <w:rFonts w:ascii="Calibri" w:cs="Calibri" w:eastAsia="Calibri" w:hAnsi="Calibri"/>
          <w:color w:val="2B2B2B"/>
          <w:sz w:val="20"/>
          <w:szCs w:val="20"/>
        </w:rPr>
        <w:t xml:space="preserve">Dans MySQL/MariaDB, un compte est identifié par un nom ET un hôte d'origine : 'vie_scolaire'@'localhost' et 'vie_scolaire'@'192.168.1.%' sont deux comptes différents. Un compte créé pour localhost ne peut donc pas se connecter depuis un autre poste.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W w:type="pct" w:w="100%"/>
            <w:shd w:fill="16223B" w:color="auto" w:val="clear"/>
            <w:tcMar>
              <w:top w:type="dxa" w:w="180"/>
              <w:left w:type="dxa" w:w="260"/>
              <w:bottom w:type="dxa" w:w="180"/>
              <w:right w:type="dxa" w:w="260"/>
            </w:tcMar>
          </w:tcPr>
          <w:p>
            <w:pPr>
              <w:spacing w:after="20"/>
            </w:pPr>
            <w:r>
              <w:rPr>
                <w:rFonts w:ascii="Consolas" w:cs="Consolas" w:eastAsia="Consolas" w:hAnsi="Consolas"/>
                <w:color w:val="9FE6A0"/>
                <w:sz w:val="19"/>
                <w:szCs w:val="19"/>
              </w:rPr>
              <w:t xml:space="preserve">CREATE USER 'vie_scolaire'@'192.168.1.%' IDENTIFIED BY 'mot_de_passe';</w:t>
            </w:r>
          </w:p>
          <w:p>
            <w:pPr>
              <w:spacing w:after="0"/>
            </w:pPr>
            <w:r>
              <w:rPr>
                <w:rFonts w:ascii="Consolas" w:cs="Consolas" w:eastAsia="Consolas" w:hAnsi="Consolas"/>
                <w:color w:val="9FE6A0"/>
                <w:sz w:val="19"/>
                <w:szCs w:val="19"/>
              </w:rPr>
              <w:t xml:space="preserve">GRANT SELECT, INSERT, UPDATE ON lycee.etudiant TO 'vie_scolaire'@'192.168.1.%';</w:t>
            </w:r>
          </w:p>
        </w:tc>
      </w:tr>
    </w:tbl>
    <w:p>
      <w:pPr>
        <w:spacing w:after="80"/>
      </w:pPr>
    </w:p>
    <w:p>
      <w:pPr>
        <w:keepNext/>
        <w:spacing w:after="100"/>
      </w:pPr>
      <w:r>
        <w:rPr>
          <w:rFonts w:ascii="Calibri" w:cs="Calibri" w:eastAsia="Calibri" w:hAnsi="Calibri"/>
          <w:color w:val="2B2B2B"/>
          <w:sz w:val="20"/>
          <w:szCs w:val="20"/>
        </w:rPr>
        <w:t xml:space="preserve">Le signe % est un joker : 192.168.1.% accepte les postes du réseau 192.168.1.x. On évite '%' seul, qui autoriserait n'importe quelle adresse.</w:t>
      </w:r>
    </w:p>
    <w:p>
      <w:pPr>
        <w:keepNext/>
        <w:spacing w:after="80" w:before="180"/>
      </w:pPr>
      <w:r>
        <w:rPr>
          <w:rFonts w:ascii="Calibri" w:cs="Calibri" w:eastAsia="Calibri" w:hAnsi="Calibri"/>
          <w:b/>
          <w:bCs/>
          <w:color w:val="C97A2B"/>
          <w:sz w:val="21"/>
          <w:szCs w:val="21"/>
        </w:rPr>
        <w:t xml:space="preserve">Réglage 3 — Ouvrir le port 3306 aux seuls postes d'administration</w:t>
      </w:r>
    </w:p>
    <w:p>
      <w:pPr>
        <w:keepNext/>
        <w:spacing w:after="100"/>
      </w:pPr>
      <w:r>
        <w:rPr>
          <w:rFonts w:ascii="Calibri" w:cs="Calibri" w:eastAsia="Calibri" w:hAnsi="Calibri"/>
          <w:color w:val="2B2B2B"/>
          <w:sz w:val="20"/>
          <w:szCs w:val="20"/>
        </w:rPr>
        <w:t xml:space="preserve">Le pare-feu du serveur doit laisser passer le port TCP 3306 (port par défaut de MySQL/MariaDB), mais uniquement depuis les postes autorisés.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W w:type="pct" w:w="100%"/>
            <w:shd w:fill="16223B" w:color="auto" w:val="clear"/>
            <w:tcMar>
              <w:top w:type="dxa" w:w="180"/>
              <w:left w:type="dxa" w:w="260"/>
              <w:bottom w:type="dxa" w:w="180"/>
              <w:right w:type="dxa" w:w="26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9FE6A0"/>
                <w:sz w:val="19"/>
                <w:szCs w:val="19"/>
              </w:rPr>
              <w:t xml:space="preserve">sudo ufw allow from 192.168.1.0/24 to any port 3306 proto tcp</w:t>
            </w:r>
          </w:p>
        </w:tc>
      </w:tr>
    </w:tbl>
    <w:p>
      <w:pPr>
        <w:spacing w:after="80"/>
      </w:pP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W w:type="pct" w:w="100%"/>
            <w:tcBorders>
              <w:top w:val="none" w:color="FFFFFF" w:sz="0"/>
              <w:left w:val="single" w:color="C97A2B" w:sz="36"/>
              <w:bottom w:val="none" w:color="FFFFFF" w:sz="0"/>
              <w:right w:val="none" w:color="FFFFFF" w:sz="0"/>
            </w:tcBorders>
            <w:shd w:fill="FBEEDE" w:color="auto" w:val="clear"/>
            <w:tcMar>
              <w:top w:type="dxa" w:w="160"/>
              <w:left w:type="dxa" w:w="260"/>
              <w:bottom w:type="dxa" w:w="160"/>
              <w:right w:type="dxa" w:w="260"/>
            </w:tcMar>
          </w:tcPr>
          <w:p>
            <w:pPr>
              <w:spacing w:after="80"/>
            </w:pPr>
            <w:r>
              <w:rPr>
                <w:rFonts w:ascii="Calibri" w:cs="Calibri" w:eastAsia="Calibri" w:hAnsi="Calibri"/>
                <w:b/>
                <w:bCs/>
                <w:color w:val="C97A2B"/>
                <w:sz w:val="21"/>
                <w:szCs w:val="21"/>
              </w:rPr>
              <w:t xml:space="preserve">Diagnostiquer l'erreur de connexion</w:t>
            </w:r>
          </w:p>
          <w:p>
            <w:pPr>
              <w:spacing w:after="60"/>
            </w:pPr>
            <w:r>
              <w:rPr>
                <w:rFonts w:ascii="Calibri" w:cs="Calibri" w:eastAsia="Calibri" w:hAnsi="Calibri"/>
                <w:color w:val="2B2B2B"/>
                <w:sz w:val="20"/>
                <w:szCs w:val="20"/>
              </w:rPr>
              <w:t xml:space="preserve">« Connection refused » ou délai dépassé : le poste n'atteint pas le SGBD. Vérifier que le service est démarré, le bind-address, le pare-feu, l'adresse et le port saisis dans DBeaver.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color w:val="2B2B2B"/>
                <w:sz w:val="20"/>
                <w:szCs w:val="20"/>
              </w:rPr>
              <w:t xml:space="preserve">« Access denied for user » : le SGBD répond mais refuse le compte. Vérifier le mot de passe, l'hôte du compte ('utilisateur'@'hôte') et ses droits.</w:t>
            </w:r>
          </w:p>
        </w:tc>
      </w:tr>
    </w:tbl>
    <w:p>
      <w:pPr>
        <w:spacing w:after="80"/>
      </w:pP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W w:type="pct" w:w="100%"/>
            <w:tcBorders>
              <w:top w:val="none" w:color="FFFFFF" w:sz="0"/>
              <w:left w:val="single" w:color="3E7C59" w:sz="36"/>
              <w:bottom w:val="none" w:color="FFFFFF" w:sz="0"/>
              <w:right w:val="none" w:color="FFFFFF" w:sz="0"/>
            </w:tcBorders>
            <w:shd w:fill="EAF3ED" w:color="auto" w:val="clear"/>
            <w:tcMar>
              <w:top w:type="dxa" w:w="160"/>
              <w:left w:type="dxa" w:w="260"/>
              <w:bottom w:type="dxa" w:w="160"/>
              <w:right w:type="dxa" w:w="260"/>
            </w:tcMar>
          </w:tcPr>
          <w:p>
            <w:pPr>
              <w:spacing w:after="80"/>
            </w:pPr>
            <w:r>
              <w:rPr>
                <w:rFonts w:ascii="Calibri" w:cs="Calibri" w:eastAsia="Calibri" w:hAnsi="Calibri"/>
                <w:b/>
                <w:bCs/>
                <w:color w:val="3E7C59"/>
                <w:sz w:val="21"/>
                <w:szCs w:val="21"/>
              </w:rPr>
              <w:t xml:space="preserve">Alternative : le tunnel SSH, sans ouvrir le port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color w:val="2B2B2B"/>
                <w:sz w:val="20"/>
                <w:szCs w:val="20"/>
              </w:rPr>
              <w:t xml:space="preserve">On laisse bind-address = 127.0.0.1. Dans DBeaver, l'onglet SSH de la connexion reçoit l'adresse du serveur, le port 22 et un utilisateur SSH : DBeaver ouvre un tunnel chiffré, puis atteint le SGBD « depuis le serveur » (hôte localhost). Le port 3306 reste fermé au réseau, et le compte peut rester @'localhost'.</w:t>
            </w:r>
          </w:p>
        </w:tc>
      </w:tr>
    </w:tbl>
    <w:p>
      <w:pPr>
        <w:spacing w:after="80"/>
      </w:pPr>
    </w:p>
    <w:p>
      <w:pPr>
        <w:keepNext/>
        <w:spacing w:after="120" w:before="260"/>
      </w:pPr>
      <w:r>
        <w:rPr>
          <w:rFonts w:ascii="Calibri" w:cs="Calibri" w:eastAsia="Calibri" w:hAnsi="Calibri"/>
          <w:b/>
          <w:bCs/>
          <w:color w:val="1B2A4A"/>
          <w:sz w:val="23"/>
          <w:szCs w:val="23"/>
        </w:rPr>
        <w:t xml:space="preserve">0.5 — Sécuriser l'accès avec DBeaver</w:t>
      </w:r>
    </w:p>
    <w:p>
      <w:pPr>
        <w:keepNext/>
        <w:spacing w:after="100"/>
      </w:pPr>
      <w:r>
        <w:rPr>
          <w:rFonts w:ascii="Calibri" w:cs="Calibri" w:eastAsia="Calibri" w:hAnsi="Calibri"/>
          <w:color w:val="2B2B2B"/>
          <w:sz w:val="20"/>
          <w:szCs w:val="20"/>
        </w:rPr>
        <w:t xml:space="preserve">Parce qu'il se connecte directement au SGBD, DBeaver offre plusieurs options pour sécuriser la liaison :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b/>
          <w:bCs/>
          <w:color w:val="2B2B2B"/>
          <w:sz w:val="20"/>
          <w:szCs w:val="20"/>
        </w:rPr>
        <w:t xml:space="preserve">Tunnel SSH : </w:t>
      </w:r>
      <w:r>
        <w:rPr>
          <w:rFonts w:ascii="Calibri" w:cs="Calibri" w:eastAsia="Calibri" w:hAnsi="Calibri"/>
          <w:color w:val="2B2B2B"/>
          <w:sz w:val="20"/>
          <w:szCs w:val="20"/>
        </w:rPr>
        <w:t xml:space="preserve">onglet SSH de la connexion ; le port du SGBD n'est plus joignable depuis le réseau, tout passe par le port 22.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b/>
          <w:bCs/>
          <w:color w:val="2B2B2B"/>
          <w:sz w:val="20"/>
          <w:szCs w:val="20"/>
        </w:rPr>
        <w:t xml:space="preserve">SSL / TLS : </w:t>
      </w:r>
      <w:r>
        <w:rPr>
          <w:rFonts w:ascii="Calibri" w:cs="Calibri" w:eastAsia="Calibri" w:hAnsi="Calibri"/>
          <w:color w:val="2B2B2B"/>
          <w:sz w:val="20"/>
          <w:szCs w:val="20"/>
        </w:rPr>
        <w:t xml:space="preserve">les échanges entre le poste et le SGBD sont chiffrés ; mots de passe et données ne circulent pas en clair.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b/>
          <w:bCs/>
          <w:color w:val="2B2B2B"/>
          <w:sz w:val="20"/>
          <w:szCs w:val="20"/>
        </w:rPr>
        <w:t xml:space="preserve">Droits minimaux : </w:t>
      </w:r>
      <w:r>
        <w:rPr>
          <w:rFonts w:ascii="Calibri" w:cs="Calibri" w:eastAsia="Calibri" w:hAnsi="Calibri"/>
          <w:color w:val="2B2B2B"/>
          <w:sz w:val="20"/>
          <w:szCs w:val="20"/>
        </w:rPr>
        <w:t xml:space="preserve">se connecter avec le compte dont les droits sont strictement nécessaires (lecture_seule, vie_scolaire…), jamais en root — voir le cours sur GRANT/REVOKE.</w:t>
      </w:r>
    </w:p>
    <w:p>
      <w:pPr>
        <w:spacing w:after="80"/>
      </w:pP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W w:type="pct" w:w="100%"/>
            <w:tcBorders>
              <w:top w:val="none" w:color="FFFFFF" w:sz="0"/>
              <w:left w:val="single" w:color="B3402A" w:sz="36"/>
              <w:bottom w:val="none" w:color="FFFFFF" w:sz="0"/>
              <w:right w:val="none" w:color="FFFFFF" w:sz="0"/>
            </w:tcBorders>
            <w:shd w:fill="FBEAE3" w:color="auto" w:val="clear"/>
            <w:tcMar>
              <w:top w:type="dxa" w:w="160"/>
              <w:left w:type="dxa" w:w="260"/>
              <w:bottom w:type="dxa" w:w="160"/>
              <w:right w:type="dxa" w:w="260"/>
            </w:tcMar>
          </w:tcPr>
          <w:p>
            <w:pPr>
              <w:spacing w:after="80"/>
            </w:pPr>
            <w:r>
              <w:rPr>
                <w:rFonts w:ascii="Calibri" w:cs="Calibri" w:eastAsia="Calibri" w:hAnsi="Calibri"/>
                <w:b/>
                <w:bCs/>
                <w:color w:val="B3402A"/>
                <w:sz w:val="21"/>
                <w:szCs w:val="21"/>
              </w:rPr>
              <w:t xml:space="preserve">⚠ Vigilance — un outil plus sûr ne dispense pas des bonnes pratiques</w:t>
            </w:r>
          </w:p>
          <w:p>
            <w:pPr>
              <w:spacing w:after="60"/>
            </w:pPr>
            <w:r>
              <w:rPr>
                <w:rFonts w:ascii="Calibri" w:cs="Calibri" w:eastAsia="Calibri" w:hAnsi="Calibri"/>
                <w:color w:val="2B2B2B"/>
                <w:sz w:val="20"/>
                <w:szCs w:val="20"/>
              </w:rPr>
              <w:t xml:space="preserve">Ne jamais ouvrir le port 3306 à tout Internet : le limiter par pare-feu aux postes d'administration, ou passer par un tunnel SSH.</w:t>
            </w:r>
          </w:p>
          <w:p>
            <w:pPr>
              <w:spacing w:after="60"/>
            </w:pPr>
            <w:r>
              <w:rPr>
                <w:rFonts w:ascii="Calibri" w:cs="Calibri" w:eastAsia="Calibri" w:hAnsi="Calibri"/>
                <w:color w:val="2B2B2B"/>
                <w:sz w:val="20"/>
                <w:szCs w:val="20"/>
              </w:rPr>
              <w:t xml:space="preserve">Protéger le poste d'administration (session verrouillée, antivirus, mises à jour) : DBeaver y enregistre les accès aux bases.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color w:val="2B2B2B"/>
                <w:sz w:val="20"/>
                <w:szCs w:val="20"/>
              </w:rPr>
              <w:t xml:space="preserve">Mettre à jour DBeaver régulièrement, comme tout logiciel.</w:t>
            </w:r>
          </w:p>
        </w:tc>
      </w:tr>
    </w:tbl>
    <w:p>
      <w:pPr>
        <w:spacing w:after="80"/>
      </w:pP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W w:type="pct" w:w="100%"/>
            <w:tcBorders>
              <w:top w:val="none" w:color="FFFFFF" w:sz="0"/>
              <w:left w:val="single" w:color="C97A2B" w:sz="36"/>
              <w:bottom w:val="none" w:color="FFFFFF" w:sz="0"/>
              <w:right w:val="none" w:color="FFFFFF" w:sz="0"/>
            </w:tcBorders>
            <w:shd w:fill="FBEEDE" w:color="auto" w:val="clear"/>
            <w:tcMar>
              <w:top w:type="dxa" w:w="160"/>
              <w:left w:type="dxa" w:w="260"/>
              <w:bottom w:type="dxa" w:w="160"/>
              <w:right w:type="dxa" w:w="260"/>
            </w:tcMar>
          </w:tcPr>
          <w:p>
            <w:pPr>
              <w:spacing w:after="80"/>
            </w:pPr>
            <w:r>
              <w:rPr>
                <w:rFonts w:ascii="Calibri" w:cs="Calibri" w:eastAsia="Calibri" w:hAnsi="Calibri"/>
                <w:b/>
                <w:bCs/>
                <w:color w:val="C97A2B"/>
                <w:sz w:val="21"/>
                <w:szCs w:val="21"/>
              </w:rPr>
              <w:t xml:space="preserve">phpMyAdmin n'est pas à bannir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color w:val="2B2B2B"/>
                <w:sz w:val="20"/>
                <w:szCs w:val="20"/>
              </w:rPr>
              <w:t xml:space="preserve">Pratique pour un dépannage rapide ou un hébergement mutualisé, il reste légitime s'il est réservé à un accès restreint : VPN, filtrage par adresse IP, HTTPS obligatoire, authentification renforcée, mises à jour suivies.</w:t>
            </w:r>
          </w:p>
        </w:tc>
      </w:tr>
    </w:tbl>
    <w:p>
      <w:pPr>
        <w:spacing w:after="120" w:before="200"/>
      </w:pPr>
      <w:r>
        <w:rPr>
          <w:rFonts w:ascii="Calibri" w:cs="Calibri" w:eastAsia="Calibri" w:hAnsi="Calibri"/>
          <w:b/>
          <w:bCs/>
          <w:color w:val="C97A2B"/>
          <w:sz w:val="20"/>
          <w:szCs w:val="20"/>
        </w:rPr>
        <w:t xml:space="preserve">Q0. </w:t>
      </w:r>
      <w:r>
        <w:rPr>
          <w:rFonts w:ascii="Calibri" w:cs="Calibri" w:eastAsia="Calibri" w:hAnsi="Calibri"/>
          <w:b/>
          <w:bCs/>
          <w:color w:val="2B2B2B"/>
          <w:sz w:val="20"/>
          <w:szCs w:val="20"/>
        </w:rPr>
        <w:t xml:space="preserve">Explique en deux ou trois phrases pourquoi un serveur sur lequel phpMyAdmin est installé offre plus de points d'entrée à un attaquant qu'un serveur administré avec DBeaver.</w:t>
      </w:r>
    </w:p>
    <w:p>
      <w:pPr>
        <w:pBdr>
          <w:bottom w:val="single" w:color="B7B7B7" w:sz="4" w:space="1"/>
        </w:pBdr>
        <w:spacing w:after="260"/>
      </w:pPr>
      <w:r>
        <w:rPr>
          <w:sz w:val="20"/>
          <w:szCs w:val="20"/>
        </w:rPr>
        <w:t xml:space="preserve"> </w:t>
      </w:r>
    </w:p>
    <w:p>
      <w:pPr>
        <w:pBdr>
          <w:bottom w:val="single" w:color="B7B7B7" w:sz="4" w:space="1"/>
        </w:pBdr>
        <w:spacing w:after="260"/>
      </w:pPr>
      <w:r>
        <w:rPr>
          <w:sz w:val="20"/>
          <w:szCs w:val="20"/>
        </w:rPr>
        <w:t xml:space="preserve"> </w:t>
      </w:r>
    </w:p>
    <w:p>
      <w:pPr>
        <w:pBdr>
          <w:bottom w:val="single" w:color="B7B7B7" w:sz="4" w:space="1"/>
        </w:pBdr>
        <w:spacing w:after="260"/>
      </w:pPr>
      <w:r>
        <w:rPr>
          <w:sz w:val="20"/>
          <w:szCs w:val="20"/>
        </w:rPr>
        <w:t xml:space="preserve"> </w:t>
      </w:r>
    </w:p>
    <w:p>
      <w:pPr>
        <w:keepNext/>
        <w:spacing w:after="120" w:before="260"/>
      </w:pPr>
      <w:r>
        <w:rPr>
          <w:rFonts w:ascii="Calibri" w:cs="Calibri" w:eastAsia="Calibri" w:hAnsi="Calibri"/>
          <w:b/>
          <w:bCs/>
          <w:color w:val="1B2A4A"/>
          <w:sz w:val="23"/>
          <w:szCs w:val="23"/>
        </w:rPr>
        <w:t xml:space="preserve">0.6 — Bilan du préambule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W w:type="pct" w:w="100%"/>
            <w:tcBorders>
              <w:top w:val="none" w:color="FFFFFF" w:sz="0"/>
              <w:left w:val="single" w:color="3E7C59" w:sz="36"/>
              <w:bottom w:val="none" w:color="FFFFFF" w:sz="0"/>
              <w:right w:val="none" w:color="FFFFFF" w:sz="0"/>
            </w:tcBorders>
            <w:shd w:fill="EAF3ED" w:color="auto" w:val="clear"/>
            <w:tcMar>
              <w:top w:type="dxa" w:w="160"/>
              <w:left w:type="dxa" w:w="260"/>
              <w:bottom w:type="dxa" w:w="160"/>
              <w:right w:type="dxa" w:w="26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2B2B2B"/>
                <w:sz w:val="20"/>
                <w:szCs w:val="20"/>
              </w:rPr>
              <w:t xml:space="preserve">DBeaver est un client SQL universel, libre, installé sur le poste de l'administrateur. phpMyAdmin est une application web : elle impose serveur web + PHP, donc plus de services à exposer et à tenir à jour. Moins de services signifie une surface d'attaque plus faible, et DBeaver permet en plus le tunnel SSH et le SSL/TLS. En contrepartie, il faut autoriser les connexions distantes sur le SGBD (bind-address, compte avec hôte autorisé, pare-feu) ou passer par un tunnel SSH.</w:t>
            </w:r>
          </w:p>
        </w:tc>
      </w:tr>
    </w:tbl>
    <w:p>
      <w:r>
        <w:br w:type="page"/>
      </w:r>
    </w:p>
    <w:p>
      <w:pPr>
        <w:pStyle w:val="Heading1"/>
        <w:shd w:fill="1A1A1A" w:color="auto" w:val="clear"/>
        <w:spacing w:after="200" w:before="400"/>
      </w:pPr>
      <w:r>
        <w:rPr>
          <w:rFonts w:ascii="Calibri" w:cs="Calibri" w:eastAsia="Calibri" w:hAnsi="Calibri"/>
          <w:b/>
          <w:bCs/>
          <w:color w:val="F2B25C"/>
          <w:sz w:val="24"/>
          <w:szCs w:val="24"/>
        </w:rPr>
        <w:t xml:space="preserve">  PARTIE 1 — </w:t>
      </w:r>
      <w:r>
        <w:rPr>
          <w:rFonts w:ascii="Calibri" w:cs="Calibri" w:eastAsia="Calibri" w:hAnsi="Calibri"/>
          <w:b/>
          <w:bCs/>
          <w:color w:val="FFFFFF"/>
          <w:sz w:val="24"/>
          <w:szCs w:val="24"/>
        </w:rPr>
        <w:t xml:space="preserve">INSTALLER DBEAVER  </w:t>
      </w:r>
    </w:p>
    <w:p>
      <w:pPr>
        <w:spacing w:after="140"/>
      </w:pPr>
      <w:r>
        <w:rPr>
          <w:rFonts w:ascii="Calibri" w:cs="Calibri" w:eastAsia="Calibri" w:hAnsi="Calibri"/>
          <w:color w:val="2B2B2B"/>
          <w:sz w:val="20"/>
          <w:szCs w:val="20"/>
        </w:rPr>
        <w:t xml:space="preserve">Télécharger et installer l'édition Community, gratuite et multiplateforme.</w:t>
      </w:r>
    </w:p>
    <w:p>
      <w:pPr>
        <w:spacing w:after="120" w:before="260"/>
      </w:pPr>
      <w:r>
        <w:rPr>
          <w:rFonts w:ascii="Calibri" w:cs="Calibri" w:eastAsia="Calibri" w:hAnsi="Calibri"/>
          <w:b/>
          <w:bCs/>
          <w:color w:val="1B2A4A"/>
          <w:sz w:val="23"/>
          <w:szCs w:val="23"/>
        </w:rPr>
        <w:t xml:space="preserve">1.1 — Télécharger DBeaver Community</w:t>
      </w:r>
    </w:p>
    <w:p>
      <w:pPr>
        <w:spacing w:after="140"/>
      </w:pPr>
      <w:r>
        <w:rPr>
          <w:rFonts w:ascii="Calibri" w:cs="Calibri" w:eastAsia="Calibri" w:hAnsi="Calibri"/>
          <w:color w:val="2B2B2B"/>
          <w:sz w:val="20"/>
          <w:szCs w:val="20"/>
        </w:rPr>
        <w:t xml:space="preserve">DBeaver existe en plusieurs éditions. L'édition Community est gratuite, open source, et amplement suffisante pour ce cours.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color w:val="2B2B2B"/>
          <w:sz w:val="20"/>
          <w:szCs w:val="20"/>
        </w:rPr>
        <w:t xml:space="preserve">Site : dbeaver.io/download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color w:val="2B2B2B"/>
          <w:sz w:val="20"/>
          <w:szCs w:val="20"/>
        </w:rPr>
        <w:t xml:space="preserve">Windows : fichier .exe avec assistant d'installation classique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color w:val="2B2B2B"/>
          <w:sz w:val="20"/>
          <w:szCs w:val="20"/>
        </w:rPr>
        <w:t xml:space="preserve">macOS : fichier .dmg à glisser dans le dossier Applications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color w:val="2B2B2B"/>
          <w:sz w:val="20"/>
          <w:szCs w:val="20"/>
        </w:rPr>
        <w:t xml:space="preserve">Linux : paquet .deb/.rpm, ou AppImage exécutable directement</w:t>
      </w:r>
    </w:p>
    <w:p>
      <w:pPr>
        <w:spacing w:after="120" w:before="260"/>
      </w:pPr>
      <w:r>
        <w:rPr>
          <w:rFonts w:ascii="Calibri" w:cs="Calibri" w:eastAsia="Calibri" w:hAnsi="Calibri"/>
          <w:b/>
          <w:bCs/>
          <w:color w:val="1B2A4A"/>
          <w:sz w:val="23"/>
          <w:szCs w:val="23"/>
        </w:rPr>
        <w:t xml:space="preserve">1.2 — Installer et lancer DBeaver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color w:val="2B2B2B"/>
          <w:sz w:val="20"/>
          <w:szCs w:val="20"/>
        </w:rPr>
        <w:t xml:space="preserve">Lancer l'installeur et suivre l'assistant — les options par défaut conviennent dans la quasi-totalité des cas.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color w:val="2B2B2B"/>
          <w:sz w:val="20"/>
          <w:szCs w:val="20"/>
        </w:rPr>
        <w:t xml:space="preserve">Aucun prérequis supplémentaire : DBeaver embarque son propre environnement Java.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color w:val="2B2B2B"/>
          <w:sz w:val="20"/>
          <w:szCs w:val="20"/>
        </w:rPr>
        <w:t xml:space="preserve">Au premier lancement, DBeaver propose de créer une connexion — on peut fermer cette fenêtre et la créer soi-même à l'étape suivante.</w:t>
      </w:r>
    </w:p>
    <w:p>
      <w:pPr>
        <w:spacing w:after="160"/>
      </w:pPr>
      <w:r>
        <w:t xml:space="preserve"/>
      </w:r>
    </w:p>
    <w:p>
      <w:pPr>
        <w:spacing w:after="120" w:before="260"/>
      </w:pPr>
      <w:r>
        <w:rPr>
          <w:rFonts w:ascii="Calibri" w:cs="Calibri" w:eastAsia="Calibri" w:hAnsi="Calibri"/>
          <w:b/>
          <w:bCs/>
          <w:color w:val="1B2A4A"/>
          <w:sz w:val="23"/>
          <w:szCs w:val="23"/>
        </w:rPr>
        <w:t xml:space="preserve">1.3 — Bilan de la partie 1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W w:type="pct" w:w="100%"/>
            <w:tcBorders>
              <w:top w:val="none" w:color="FFFFFF" w:sz="0"/>
              <w:left w:val="single" w:color="3E7C59" w:sz="36"/>
              <w:bottom w:val="none" w:color="FFFFFF" w:sz="0"/>
              <w:right w:val="none" w:color="FFFFFF" w:sz="0"/>
            </w:tcBorders>
            <w:shd w:fill="EAF3ED" w:color="auto" w:val="clear"/>
            <w:tcMar>
              <w:top w:type="dxa" w:w="160"/>
              <w:left w:type="dxa" w:w="260"/>
              <w:bottom w:type="dxa" w:w="160"/>
              <w:right w:type="dxa" w:w="26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2B2B2B"/>
                <w:sz w:val="20"/>
                <w:szCs w:val="20"/>
              </w:rPr>
              <w:t xml:space="preserve">dbeaver.io/download pour télécharger l'édition Community, gratuite et multiplateforme, avec un installeur natif selon le système d'exploitation.</w:t>
            </w:r>
          </w:p>
        </w:tc>
      </w:tr>
    </w:tbl>
    <w:p>
      <w:r>
        <w:br w:type="page"/>
      </w:r>
    </w:p>
    <w:p>
      <w:pPr>
        <w:pStyle w:val="Heading1"/>
        <w:shd w:fill="1A1A1A" w:color="auto" w:val="clear"/>
        <w:spacing w:after="200" w:before="400"/>
      </w:pPr>
      <w:r>
        <w:rPr>
          <w:rFonts w:ascii="Calibri" w:cs="Calibri" w:eastAsia="Calibri" w:hAnsi="Calibri"/>
          <w:b/>
          <w:bCs/>
          <w:color w:val="F2B25C"/>
          <w:sz w:val="24"/>
          <w:szCs w:val="24"/>
        </w:rPr>
        <w:t xml:space="preserve">  PARTIE 2 — </w:t>
      </w:r>
      <w:r>
        <w:rPr>
          <w:rFonts w:ascii="Calibri" w:cs="Calibri" w:eastAsia="Calibri" w:hAnsi="Calibri"/>
          <w:b/>
          <w:bCs/>
          <w:color w:val="FFFFFF"/>
          <w:sz w:val="24"/>
          <w:szCs w:val="24"/>
        </w:rPr>
        <w:t xml:space="preserve">SE CONNECTER À UNE BASE DE DONNÉES  </w:t>
      </w:r>
    </w:p>
    <w:p>
      <w:pPr>
        <w:spacing w:after="140"/>
      </w:pPr>
      <w:r>
        <w:rPr>
          <w:rFonts w:ascii="Calibri" w:cs="Calibri" w:eastAsia="Calibri" w:hAnsi="Calibri"/>
          <w:color w:val="2B2B2B"/>
          <w:sz w:val="20"/>
          <w:szCs w:val="20"/>
        </w:rPr>
        <w:t xml:space="preserve">Créer une connexion, renseigner les paramètres, tester et valider.</w:t>
      </w:r>
    </w:p>
    <w:p>
      <w:pPr>
        <w:spacing w:after="120" w:before="260"/>
      </w:pPr>
      <w:r>
        <w:rPr>
          <w:rFonts w:ascii="Calibri" w:cs="Calibri" w:eastAsia="Calibri" w:hAnsi="Calibri"/>
          <w:b/>
          <w:bCs/>
          <w:color w:val="1B2A4A"/>
          <w:sz w:val="23"/>
          <w:szCs w:val="23"/>
        </w:rPr>
        <w:t xml:space="preserve">2.1 — Créer une nouvelle connexion</w:t>
      </w:r>
    </w:p>
    <w:p>
      <w:pPr>
        <w:spacing w:after="140"/>
      </w:pPr>
      <w:r>
        <w:rPr>
          <w:rFonts w:ascii="Calibri" w:cs="Calibri" w:eastAsia="Calibri" w:hAnsi="Calibri"/>
          <w:color w:val="2B2B2B"/>
          <w:sz w:val="20"/>
          <w:szCs w:val="20"/>
        </w:rPr>
        <w:t xml:space="preserve">Dans DBeaver : Fichier → Nouvelle connexion (ou l'icône « prise » dans la barre d'outils), puis choisir le type de SGBD.</w:t>
      </w:r>
    </w:p>
    <w:tbl>
      <w:tblPr>
        <w:tblW w:type="pct" w:w="100%"/>
        <w:tblBorders>
          <w:top w:val="single" w:color="999999" w:sz="4"/>
          <w:left w:val="single" w:color="999999" w:sz="4"/>
          <w:bottom w:val="single" w:color="999999" w:sz="4"/>
          <w:right w:val="single" w:color="999999" w:sz="4"/>
          <w:insideH w:val="single" w:color="999999" w:sz="4"/>
          <w:insideV w:val="single" w:color="999999" w:sz="4"/>
        </w:tblBorders>
      </w:tblPr>
      <w:tblGrid>
        <w:gridCol w:w="100"/>
        <w:gridCol w:w="100"/>
      </w:tblGrid>
      <w:tr>
        <w:trPr>
          <w:cantSplit/>
        </w:trPr>
        <w:tc>
          <w:tcPr>
            <w:tcW w:type="pct" w:w="40%"/>
            <w:shd w:fill="F4F4F4" w:color="auto" w:val="clear"/>
            <w:tcMar>
              <w:top w:type="dxa" w:w="90"/>
              <w:left w:type="dxa" w:w="120"/>
              <w:bottom w:type="dxa" w:w="90"/>
              <w:right w:type="dxa" w:w="8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2B2B2B"/>
                <w:sz w:val="17"/>
                <w:szCs w:val="17"/>
              </w:rPr>
              <w:t xml:space="preserve">Serveur (Host)</w:t>
            </w:r>
          </w:p>
        </w:tc>
        <w:tc>
          <w:tcPr>
            <w:tcW w:type="pct" w:w="60%"/>
            <w:shd w:fill="F4F4F4" w:color="auto" w:val="clear"/>
            <w:tcMar>
              <w:top w:type="dxa" w:w="90"/>
              <w:left w:type="dxa" w:w="120"/>
              <w:bottom w:type="dxa" w:w="90"/>
              <w:right w:type="dxa" w:w="80"/>
            </w:tcMar>
          </w:tcPr>
          <w:p>
            <w:r>
              <w:rPr>
                <w:rFonts w:ascii="Consolas" w:cs="Consolas" w:eastAsia="Consolas" w:hAnsi="Consolas"/>
                <w:color w:val="1B2A4A"/>
                <w:sz w:val="15"/>
                <w:szCs w:val="15"/>
              </w:rPr>
              <w:t xml:space="preserve">localhost</w:t>
            </w:r>
          </w:p>
        </w:tc>
      </w:tr>
      <w:tr>
        <w:trPr>
          <w:cantSplit/>
        </w:trPr>
        <w:tc>
          <w:tcPr>
            <w:tcW w:type="pct" w:w="40%"/>
            <w:shd w:fill="FFFFFF" w:color="auto" w:val="clear"/>
            <w:tcMar>
              <w:top w:type="dxa" w:w="90"/>
              <w:left w:type="dxa" w:w="120"/>
              <w:bottom w:type="dxa" w:w="90"/>
              <w:right w:type="dxa" w:w="8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2B2B2B"/>
                <w:sz w:val="17"/>
                <w:szCs w:val="17"/>
              </w:rPr>
              <w:t xml:space="preserve">Port</w:t>
            </w:r>
          </w:p>
        </w:tc>
        <w:tc>
          <w:tcPr>
            <w:tcW w:type="pct" w:w="60%"/>
            <w:shd w:fill="FFFFFF" w:color="auto" w:val="clear"/>
            <w:tcMar>
              <w:top w:type="dxa" w:w="90"/>
              <w:left w:type="dxa" w:w="120"/>
              <w:bottom w:type="dxa" w:w="90"/>
              <w:right w:type="dxa" w:w="80"/>
            </w:tcMar>
          </w:tcPr>
          <w:p>
            <w:r>
              <w:rPr>
                <w:rFonts w:ascii="Consolas" w:cs="Consolas" w:eastAsia="Consolas" w:hAnsi="Consolas"/>
                <w:color w:val="1B2A4A"/>
                <w:sz w:val="15"/>
                <w:szCs w:val="15"/>
              </w:rPr>
              <w:t xml:space="preserve">3306</w:t>
            </w:r>
          </w:p>
        </w:tc>
      </w:tr>
      <w:tr>
        <w:trPr>
          <w:cantSplit/>
        </w:trPr>
        <w:tc>
          <w:tcPr>
            <w:tcW w:type="pct" w:w="40%"/>
            <w:shd w:fill="F4F4F4" w:color="auto" w:val="clear"/>
            <w:tcMar>
              <w:top w:type="dxa" w:w="90"/>
              <w:left w:type="dxa" w:w="120"/>
              <w:bottom w:type="dxa" w:w="90"/>
              <w:right w:type="dxa" w:w="8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2B2B2B"/>
                <w:sz w:val="17"/>
                <w:szCs w:val="17"/>
              </w:rPr>
              <w:t xml:space="preserve">Base de données</w:t>
            </w:r>
          </w:p>
        </w:tc>
        <w:tc>
          <w:tcPr>
            <w:tcW w:type="pct" w:w="60%"/>
            <w:shd w:fill="F4F4F4" w:color="auto" w:val="clear"/>
            <w:tcMar>
              <w:top w:type="dxa" w:w="90"/>
              <w:left w:type="dxa" w:w="120"/>
              <w:bottom w:type="dxa" w:w="90"/>
              <w:right w:type="dxa" w:w="80"/>
            </w:tcMar>
          </w:tcPr>
          <w:p>
            <w:r>
              <w:rPr>
                <w:rFonts w:ascii="Consolas" w:cs="Consolas" w:eastAsia="Consolas" w:hAnsi="Consolas"/>
                <w:color w:val="1B2A4A"/>
                <w:sz w:val="15"/>
                <w:szCs w:val="15"/>
              </w:rPr>
              <w:t xml:space="preserve">lycee</w:t>
            </w:r>
          </w:p>
        </w:tc>
      </w:tr>
      <w:tr>
        <w:trPr>
          <w:cantSplit/>
        </w:trPr>
        <w:tc>
          <w:tcPr>
            <w:tcW w:type="pct" w:w="40%"/>
            <w:shd w:fill="FFFFFF" w:color="auto" w:val="clear"/>
            <w:tcMar>
              <w:top w:type="dxa" w:w="90"/>
              <w:left w:type="dxa" w:w="120"/>
              <w:bottom w:type="dxa" w:w="90"/>
              <w:right w:type="dxa" w:w="8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2B2B2B"/>
                <w:sz w:val="17"/>
                <w:szCs w:val="17"/>
              </w:rPr>
              <w:t xml:space="preserve">Utilisateur</w:t>
            </w:r>
          </w:p>
        </w:tc>
        <w:tc>
          <w:tcPr>
            <w:tcW w:type="pct" w:w="60%"/>
            <w:shd w:fill="FFFFFF" w:color="auto" w:val="clear"/>
            <w:tcMar>
              <w:top w:type="dxa" w:w="90"/>
              <w:left w:type="dxa" w:w="120"/>
              <w:bottom w:type="dxa" w:w="90"/>
              <w:right w:type="dxa" w:w="80"/>
            </w:tcMar>
          </w:tcPr>
          <w:p>
            <w:r>
              <w:rPr>
                <w:rFonts w:ascii="Consolas" w:cs="Consolas" w:eastAsia="Consolas" w:hAnsi="Consolas"/>
                <w:color w:val="1B2A4A"/>
                <w:sz w:val="15"/>
                <w:szCs w:val="15"/>
              </w:rPr>
              <w:t xml:space="preserve">vie_scolaire</w:t>
            </w:r>
          </w:p>
        </w:tc>
      </w:tr>
      <w:tr>
        <w:trPr>
          <w:cantSplit/>
        </w:trPr>
        <w:tc>
          <w:tcPr>
            <w:tcW w:type="pct" w:w="40%"/>
            <w:shd w:fill="F4F4F4" w:color="auto" w:val="clear"/>
            <w:tcMar>
              <w:top w:type="dxa" w:w="90"/>
              <w:left w:type="dxa" w:w="120"/>
              <w:bottom w:type="dxa" w:w="90"/>
              <w:right w:type="dxa" w:w="8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2B2B2B"/>
                <w:sz w:val="17"/>
                <w:szCs w:val="17"/>
              </w:rPr>
              <w:t xml:space="preserve">Mot de passe</w:t>
            </w:r>
          </w:p>
        </w:tc>
        <w:tc>
          <w:tcPr>
            <w:tcW w:type="pct" w:w="60%"/>
            <w:shd w:fill="F4F4F4" w:color="auto" w:val="clear"/>
            <w:tcMar>
              <w:top w:type="dxa" w:w="90"/>
              <w:left w:type="dxa" w:w="120"/>
              <w:bottom w:type="dxa" w:w="90"/>
              <w:right w:type="dxa" w:w="80"/>
            </w:tcMar>
          </w:tcPr>
          <w:p>
            <w:r>
              <w:rPr>
                <w:rFonts w:ascii="Consolas" w:cs="Consolas" w:eastAsia="Consolas" w:hAnsi="Consolas"/>
                <w:color w:val="1B2A4A"/>
                <w:sz w:val="15"/>
                <w:szCs w:val="15"/>
              </w:rPr>
              <w:t xml:space="preserve">(fourni par le professeur)</w:t>
            </w:r>
          </w:p>
        </w:tc>
      </w:tr>
    </w:tbl>
    <w:p>
      <w:pPr>
        <w:spacing w:after="120" w:before="260"/>
      </w:pPr>
      <w:r>
        <w:rPr>
          <w:rFonts w:ascii="Calibri" w:cs="Calibri" w:eastAsia="Calibri" w:hAnsi="Calibri"/>
          <w:b/>
          <w:bCs/>
          <w:color w:val="1B2A4A"/>
          <w:sz w:val="23"/>
          <w:szCs w:val="23"/>
        </w:rPr>
        <w:t xml:space="preserve">2.2 — Tester et valider la connexion</w:t>
      </w:r>
    </w:p>
    <w:p>
      <w:pPr>
        <w:spacing w:after="140"/>
      </w:pPr>
      <w:r>
        <w:rPr>
          <w:rFonts w:ascii="Calibri" w:cs="Calibri" w:eastAsia="Calibri" w:hAnsi="Calibri"/>
          <w:color w:val="2B2B2B"/>
          <w:sz w:val="20"/>
          <w:szCs w:val="20"/>
        </w:rPr>
        <w:t xml:space="preserve">Avant de valider, DBeaver propose de tester la connexion pour détecter immédiatement une erreur de paramètre.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W w:type="pct" w:w="100%"/>
            <w:tcBorders>
              <w:top w:val="none" w:color="FFFFFF" w:sz="0"/>
              <w:left w:val="single" w:color="C97A2B" w:sz="36"/>
              <w:bottom w:val="none" w:color="FFFFFF" w:sz="0"/>
              <w:right w:val="none" w:color="FFFFFF" w:sz="0"/>
            </w:tcBorders>
            <w:shd w:fill="FBEEDE" w:color="auto" w:val="clear"/>
            <w:tcMar>
              <w:top w:type="dxa" w:w="160"/>
              <w:left w:type="dxa" w:w="260"/>
              <w:bottom w:type="dxa" w:w="160"/>
              <w:right w:type="dxa" w:w="260"/>
            </w:tcMar>
          </w:tcPr>
          <w:p>
            <w:pPr>
              <w:spacing w:after="80"/>
            </w:pPr>
            <w:r>
              <w:rPr>
                <w:rFonts w:ascii="Calibri" w:cs="Calibri" w:eastAsia="Calibri" w:hAnsi="Calibri"/>
                <w:b/>
                <w:bCs/>
                <w:color w:val="C97A2B"/>
                <w:sz w:val="21"/>
                <w:szCs w:val="21"/>
              </w:rPr>
              <w:t xml:space="preserve">Pilote manquant ?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color w:val="2B2B2B"/>
                <w:sz w:val="20"/>
                <w:szCs w:val="20"/>
              </w:rPr>
              <w:t xml:space="preserve">Lors de la première connexion à un SGBD, DBeaver propose de télécharger automatiquement le pilote (driver) correspondant — accepter le téléchargement suffit.</w:t>
            </w:r>
          </w:p>
        </w:tc>
      </w:tr>
    </w:tbl>
    <w:p>
      <w:pPr>
        <w:spacing w:after="120" w:before="200"/>
      </w:pPr>
      <w:r>
        <w:rPr>
          <w:rFonts w:ascii="Calibri" w:cs="Calibri" w:eastAsia="Calibri" w:hAnsi="Calibri"/>
          <w:b/>
          <w:bCs/>
          <w:color w:val="C97A2B"/>
          <w:sz w:val="20"/>
          <w:szCs w:val="20"/>
        </w:rPr>
        <w:t xml:space="preserve">Q1. </w:t>
      </w:r>
      <w:r>
        <w:rPr>
          <w:rFonts w:ascii="Calibri" w:cs="Calibri" w:eastAsia="Calibri" w:hAnsi="Calibri"/>
          <w:b/>
          <w:bCs/>
          <w:color w:val="2B2B2B"/>
          <w:sz w:val="20"/>
          <w:szCs w:val="20"/>
        </w:rPr>
        <w:t xml:space="preserve">Si le test de connexion échoue avec le message « Connection refused », quelles sont les causes possibles à vérifier ?</w:t>
      </w:r>
    </w:p>
    <w:p>
      <w:pPr>
        <w:pBdr>
          <w:bottom w:val="single" w:color="B7B7B7" w:sz="4" w:space="1"/>
        </w:pBdr>
        <w:spacing w:after="260"/>
      </w:pPr>
      <w:r>
        <w:rPr>
          <w:sz w:val="20"/>
          <w:szCs w:val="20"/>
        </w:rPr>
        <w:t xml:space="preserve"> </w:t>
      </w:r>
    </w:p>
    <w:p>
      <w:pPr>
        <w:pBdr>
          <w:bottom w:val="single" w:color="B7B7B7" w:sz="4" w:space="1"/>
        </w:pBdr>
        <w:spacing w:after="260"/>
      </w:pPr>
      <w:r>
        <w:rPr>
          <w:sz w:val="20"/>
          <w:szCs w:val="20"/>
        </w:rPr>
        <w:t xml:space="preserve"> </w:t>
      </w:r>
    </w:p>
    <w:p>
      <w:pPr>
        <w:spacing w:after="160"/>
      </w:pPr>
      <w:r>
        <w:t xml:space="preserve"/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W w:type="pct" w:w="100%"/>
            <w:tcBorders>
              <w:top w:val="none" w:color="FFFFFF" w:sz="0"/>
              <w:left w:val="single" w:color="C97A2B" w:sz="36"/>
              <w:bottom w:val="none" w:color="FFFFFF" w:sz="0"/>
              <w:right w:val="none" w:color="FFFFFF" w:sz="0"/>
            </w:tcBorders>
            <w:shd w:fill="FBEEDE" w:color="auto" w:val="clear"/>
            <w:tcMar>
              <w:top w:type="dxa" w:w="160"/>
              <w:left w:type="dxa" w:w="260"/>
              <w:bottom w:type="dxa" w:w="160"/>
              <w:right w:type="dxa" w:w="260"/>
            </w:tcMar>
          </w:tcPr>
          <w:p>
            <w:pPr>
              <w:spacing w:after="80"/>
            </w:pPr>
            <w:r>
              <w:rPr>
                <w:rFonts w:ascii="Calibri" w:cs="Calibri" w:eastAsia="Calibri" w:hAnsi="Calibri"/>
                <w:b/>
                <w:bCs/>
                <w:color w:val="C97A2B"/>
                <w:sz w:val="21"/>
                <w:szCs w:val="21"/>
              </w:rPr>
              <w:t xml:space="preserve">Avant de tester : le serveur accepte-t-il les connexions distantes ?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color w:val="2B2B2B"/>
                <w:sz w:val="20"/>
                <w:szCs w:val="20"/>
              </w:rPr>
              <w:t xml:space="preserve">Si DBeaver est installé sur un autre poste que le serveur, le SGBD doit avoir été configuré pour accepter les connexions distantes (bind-address, compte avec hôte autorisé, pare-feu) — voir le point 0.4 du préambule. Sans cela, le test de connexion échoue.</w:t>
            </w:r>
          </w:p>
        </w:tc>
      </w:tr>
    </w:tbl>
    <w:p>
      <w:pPr>
        <w:spacing w:after="80"/>
      </w:pPr>
    </w:p>
    <w:p>
      <w:pPr>
        <w:spacing w:after="120" w:before="260"/>
      </w:pPr>
      <w:r>
        <w:rPr>
          <w:rFonts w:ascii="Calibri" w:cs="Calibri" w:eastAsia="Calibri" w:hAnsi="Calibri"/>
          <w:b/>
          <w:bCs/>
          <w:color w:val="1B2A4A"/>
          <w:sz w:val="23"/>
          <w:szCs w:val="23"/>
        </w:rPr>
        <w:t xml:space="preserve">2.3 — Bilan de la partie 2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W w:type="pct" w:w="100%"/>
            <w:tcBorders>
              <w:top w:val="none" w:color="FFFFFF" w:sz="0"/>
              <w:left w:val="single" w:color="3E7C59" w:sz="36"/>
              <w:bottom w:val="none" w:color="FFFFFF" w:sz="0"/>
              <w:right w:val="none" w:color="FFFFFF" w:sz="0"/>
            </w:tcBorders>
            <w:shd w:fill="EAF3ED" w:color="auto" w:val="clear"/>
            <w:tcMar>
              <w:top w:type="dxa" w:w="160"/>
              <w:left w:type="dxa" w:w="260"/>
              <w:bottom w:type="dxa" w:w="160"/>
              <w:right w:type="dxa" w:w="26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2B2B2B"/>
                <w:sz w:val="20"/>
                <w:szCs w:val="20"/>
              </w:rPr>
              <w:t xml:space="preserve">Une connexion se crée en renseignant serveur, port, base, utilisateur et mot de passe, puis en testant avant de valider définitivement.</w:t>
            </w:r>
          </w:p>
        </w:tc>
      </w:tr>
    </w:tbl>
    <w:p>
      <w:r>
        <w:br w:type="page"/>
      </w:r>
    </w:p>
    <w:p>
      <w:pPr>
        <w:pStyle w:val="Heading1"/>
        <w:shd w:fill="1A1A1A" w:color="auto" w:val="clear"/>
        <w:spacing w:after="200" w:before="400"/>
      </w:pPr>
      <w:r>
        <w:rPr>
          <w:rFonts w:ascii="Calibri" w:cs="Calibri" w:eastAsia="Calibri" w:hAnsi="Calibri"/>
          <w:b/>
          <w:bCs/>
          <w:color w:val="F2B25C"/>
          <w:sz w:val="24"/>
          <w:szCs w:val="24"/>
        </w:rPr>
        <w:t xml:space="preserve">  PARTIE 3 — </w:t>
      </w:r>
      <w:r>
        <w:rPr>
          <w:rFonts w:ascii="Calibri" w:cs="Calibri" w:eastAsia="Calibri" w:hAnsi="Calibri"/>
          <w:b/>
          <w:bCs/>
          <w:color w:val="FFFFFF"/>
          <w:sz w:val="24"/>
          <w:szCs w:val="24"/>
        </w:rPr>
        <w:t xml:space="preserve">EXPLORER UNE BASE DE DONNÉES  </w:t>
      </w:r>
    </w:p>
    <w:p>
      <w:pPr>
        <w:spacing w:after="140"/>
      </w:pPr>
      <w:r>
        <w:rPr>
          <w:rFonts w:ascii="Calibri" w:cs="Calibri" w:eastAsia="Calibri" w:hAnsi="Calibri"/>
          <w:color w:val="2B2B2B"/>
          <w:sz w:val="20"/>
          <w:szCs w:val="20"/>
        </w:rPr>
        <w:t xml:space="preserve">Naviguer dans l'arborescence, consulter la structure, visualiser les données.</w:t>
      </w:r>
    </w:p>
    <w:p>
      <w:pPr>
        <w:spacing w:after="120" w:before="260"/>
      </w:pPr>
      <w:r>
        <w:rPr>
          <w:rFonts w:ascii="Calibri" w:cs="Calibri" w:eastAsia="Calibri" w:hAnsi="Calibri"/>
          <w:b/>
          <w:bCs/>
          <w:color w:val="1B2A4A"/>
          <w:sz w:val="23"/>
          <w:szCs w:val="23"/>
        </w:rPr>
        <w:t xml:space="preserve">3.1 — L'arborescence : bases, tables, colonnes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color w:val="2B2B2B"/>
          <w:sz w:val="20"/>
          <w:szCs w:val="20"/>
        </w:rPr>
        <w:t xml:space="preserve">Base de données : le conteneur global (ex. lycee)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color w:val="2B2B2B"/>
          <w:sz w:val="20"/>
          <w:szCs w:val="20"/>
        </w:rPr>
        <w:t xml:space="preserve">Table : une structure de données précise (ex. etudiant)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color w:val="2B2B2B"/>
          <w:sz w:val="20"/>
          <w:szCs w:val="20"/>
        </w:rPr>
        <w:t xml:space="preserve">Colonne : un champ précis d'une table, avec son type</w:t>
      </w:r>
    </w:p>
    <w:p>
      <w:pPr>
        <w:spacing w:after="120" w:before="260"/>
      </w:pPr>
      <w:r>
        <w:rPr>
          <w:rFonts w:ascii="Calibri" w:cs="Calibri" w:eastAsia="Calibri" w:hAnsi="Calibri"/>
          <w:b/>
          <w:bCs/>
          <w:color w:val="1B2A4A"/>
          <w:sz w:val="23"/>
          <w:szCs w:val="23"/>
        </w:rPr>
        <w:t xml:space="preserve">3.2 — Consulter la structure d'une table</w:t>
      </w:r>
    </w:p>
    <w:p>
      <w:pPr>
        <w:spacing w:after="140"/>
      </w:pPr>
      <w:r>
        <w:rPr>
          <w:rFonts w:ascii="Calibri" w:cs="Calibri" w:eastAsia="Calibri" w:hAnsi="Calibri"/>
          <w:color w:val="2B2B2B"/>
          <w:sz w:val="20"/>
          <w:szCs w:val="20"/>
        </w:rPr>
        <w:t xml:space="preserve">Un double-clic sur une table ouvre sa fiche complète, organisée en onglets : Properties, Columns, Constraints, Foreign Keys, Data, ER Diagram.</w:t>
      </w:r>
    </w:p>
    <w:p>
      <w:pPr>
        <w:spacing w:after="120" w:before="200"/>
      </w:pPr>
      <w:r>
        <w:rPr>
          <w:rFonts w:ascii="Calibri" w:cs="Calibri" w:eastAsia="Calibri" w:hAnsi="Calibri"/>
          <w:b/>
          <w:bCs/>
          <w:color w:val="C97A2B"/>
          <w:sz w:val="20"/>
          <w:szCs w:val="20"/>
        </w:rPr>
        <w:t xml:space="preserve">Q2. </w:t>
      </w:r>
      <w:r>
        <w:rPr>
          <w:rFonts w:ascii="Calibri" w:cs="Calibri" w:eastAsia="Calibri" w:hAnsi="Calibri"/>
          <w:b/>
          <w:bCs/>
          <w:color w:val="2B2B2B"/>
          <w:sz w:val="20"/>
          <w:szCs w:val="20"/>
        </w:rPr>
        <w:t xml:space="preserve">Ouvre la table etudiant dans DBeaver. Quel est le type de la colonne moyenne ? Quelle colonne porte la contrainte FK ?</w:t>
      </w:r>
    </w:p>
    <w:p>
      <w:pPr>
        <w:pBdr>
          <w:bottom w:val="single" w:color="B7B7B7" w:sz="4" w:space="1"/>
        </w:pBdr>
        <w:spacing w:after="260"/>
      </w:pPr>
      <w:r>
        <w:rPr>
          <w:sz w:val="20"/>
          <w:szCs w:val="20"/>
        </w:rPr>
        <w:t xml:space="preserve"> </w:t>
      </w:r>
    </w:p>
    <w:p>
      <w:pPr>
        <w:pBdr>
          <w:bottom w:val="single" w:color="B7B7B7" w:sz="4" w:space="1"/>
        </w:pBdr>
        <w:spacing w:after="260"/>
      </w:pPr>
      <w:r>
        <w:rPr>
          <w:sz w:val="20"/>
          <w:szCs w:val="20"/>
        </w:rPr>
        <w:t xml:space="preserve"> </w:t>
      </w:r>
    </w:p>
    <w:p>
      <w:r>
        <w:br w:type="page"/>
      </w:r>
    </w:p>
    <w:p>
      <w:pPr>
        <w:spacing w:after="120" w:before="260"/>
      </w:pPr>
      <w:r>
        <w:rPr>
          <w:rFonts w:ascii="Calibri" w:cs="Calibri" w:eastAsia="Calibri" w:hAnsi="Calibri"/>
          <w:b/>
          <w:bCs/>
          <w:color w:val="1B2A4A"/>
          <w:sz w:val="23"/>
          <w:szCs w:val="23"/>
        </w:rPr>
        <w:t xml:space="preserve">3.3 — Visualiser et éditer les données</w:t>
      </w:r>
    </w:p>
    <w:p>
      <w:pPr>
        <w:spacing w:after="140"/>
      </w:pPr>
      <w:r>
        <w:rPr>
          <w:rFonts w:ascii="Calibri" w:cs="Calibri" w:eastAsia="Calibri" w:hAnsi="Calibri"/>
          <w:color w:val="2B2B2B"/>
          <w:sz w:val="20"/>
          <w:szCs w:val="20"/>
        </w:rPr>
        <w:t xml:space="preserve">L'onglet Data affiche le contenu de la table comme un tableur.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W w:type="pct" w:w="100%"/>
            <w:tcBorders>
              <w:top w:val="none" w:color="FFFFFF" w:sz="0"/>
              <w:left w:val="single" w:color="B3402A" w:sz="36"/>
              <w:bottom w:val="none" w:color="FFFFFF" w:sz="0"/>
              <w:right w:val="none" w:color="FFFFFF" w:sz="0"/>
            </w:tcBorders>
            <w:shd w:fill="FBEAE3" w:color="auto" w:val="clear"/>
            <w:tcMar>
              <w:top w:type="dxa" w:w="160"/>
              <w:left w:type="dxa" w:w="260"/>
              <w:bottom w:type="dxa" w:w="160"/>
              <w:right w:type="dxa" w:w="260"/>
            </w:tcMar>
          </w:tcPr>
          <w:p>
            <w:pPr>
              <w:spacing w:after="80"/>
            </w:pPr>
            <w:r>
              <w:rPr>
                <w:rFonts w:ascii="Calibri" w:cs="Calibri" w:eastAsia="Calibri" w:hAnsi="Calibri"/>
                <w:b/>
                <w:bCs/>
                <w:color w:val="B3402A"/>
                <w:sz w:val="21"/>
                <w:szCs w:val="21"/>
              </w:rPr>
              <w:t xml:space="preserve">À utiliser avec prudence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color w:val="2B2B2B"/>
                <w:sz w:val="20"/>
                <w:szCs w:val="20"/>
              </w:rPr>
              <w:t xml:space="preserve">Éditer une donnée dans cette grille exécute un UPDATE en coulisses, dès que l'on valide. Pratique pour une correction ponctuelle, mais moins traçable qu'une requête UPDATE écrite explicitement.</w:t>
            </w:r>
          </w:p>
        </w:tc>
      </w:tr>
    </w:tbl>
    <w:p>
      <w:pPr>
        <w:spacing w:after="120" w:before="260"/>
      </w:pPr>
      <w:r>
        <w:rPr>
          <w:rFonts w:ascii="Calibri" w:cs="Calibri" w:eastAsia="Calibri" w:hAnsi="Calibri"/>
          <w:b/>
          <w:bCs/>
          <w:color w:val="1B2A4A"/>
          <w:sz w:val="23"/>
          <w:szCs w:val="23"/>
        </w:rPr>
        <w:t xml:space="preserve">3.4 — Le diagramme ER</w:t>
      </w:r>
    </w:p>
    <w:p>
      <w:pPr>
        <w:spacing w:after="140"/>
      </w:pPr>
      <w:r>
        <w:rPr>
          <w:rFonts w:ascii="Calibri" w:cs="Calibri" w:eastAsia="Calibri" w:hAnsi="Calibri"/>
          <w:color w:val="2B2B2B"/>
          <w:sz w:val="20"/>
          <w:szCs w:val="20"/>
        </w:rPr>
        <w:t xml:space="preserve">L'onglet ER Diagram dessine automatiquement les tables et leurs relations, à partir des clés étrangères définies — pratique pour retrouver visuellement un MLD.</w:t>
      </w:r>
    </w:p>
    <w:p>
      <w:pPr>
        <w:spacing w:after="160"/>
      </w:pPr>
      <w:r>
        <w:t xml:space="preserve"/>
      </w:r>
    </w:p>
    <w:p>
      <w:pPr>
        <w:spacing w:after="120" w:before="260"/>
      </w:pPr>
      <w:r>
        <w:rPr>
          <w:rFonts w:ascii="Calibri" w:cs="Calibri" w:eastAsia="Calibri" w:hAnsi="Calibri"/>
          <w:b/>
          <w:bCs/>
          <w:color w:val="1B2A4A"/>
          <w:sz w:val="23"/>
          <w:szCs w:val="23"/>
        </w:rPr>
        <w:t xml:space="preserve">3.5 — Bilan de la partie 3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W w:type="pct" w:w="100%"/>
            <w:tcBorders>
              <w:top w:val="none" w:color="FFFFFF" w:sz="0"/>
              <w:left w:val="single" w:color="3E7C59" w:sz="36"/>
              <w:bottom w:val="none" w:color="FFFFFF" w:sz="0"/>
              <w:right w:val="none" w:color="FFFFFF" w:sz="0"/>
            </w:tcBorders>
            <w:shd w:fill="EAF3ED" w:color="auto" w:val="clear"/>
            <w:tcMar>
              <w:top w:type="dxa" w:w="160"/>
              <w:left w:type="dxa" w:w="260"/>
              <w:bottom w:type="dxa" w:w="160"/>
              <w:right w:type="dxa" w:w="26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2B2B2B"/>
                <w:sz w:val="20"/>
                <w:szCs w:val="20"/>
              </w:rPr>
              <w:t xml:space="preserve">L'explorateur permet de naviguer dans la structure et de visualiser les données comme dans un tableur ; l'onglet ER Diagram retrouve automatiquement le schéma du MLD.</w:t>
            </w:r>
          </w:p>
        </w:tc>
      </w:tr>
    </w:tbl>
    <w:p>
      <w:r>
        <w:br w:type="page"/>
      </w:r>
    </w:p>
    <w:p>
      <w:pPr>
        <w:pStyle w:val="Heading1"/>
        <w:shd w:fill="1A1A1A" w:color="auto" w:val="clear"/>
        <w:spacing w:after="200" w:before="400"/>
      </w:pPr>
      <w:r>
        <w:rPr>
          <w:rFonts w:ascii="Calibri" w:cs="Calibri" w:eastAsia="Calibri" w:hAnsi="Calibri"/>
          <w:b/>
          <w:bCs/>
          <w:color w:val="F2B25C"/>
          <w:sz w:val="24"/>
          <w:szCs w:val="24"/>
        </w:rPr>
        <w:t xml:space="preserve">  PARTIE 4 — </w:t>
      </w:r>
      <w:r>
        <w:rPr>
          <w:rFonts w:ascii="Calibri" w:cs="Calibri" w:eastAsia="Calibri" w:hAnsi="Calibri"/>
          <w:b/>
          <w:bCs/>
          <w:color w:val="FFFFFF"/>
          <w:sz w:val="24"/>
          <w:szCs w:val="24"/>
        </w:rPr>
        <w:t xml:space="preserve">UTILISER L'ÉDITEUR SQL  </w:t>
      </w:r>
    </w:p>
    <w:p>
      <w:pPr>
        <w:spacing w:after="140"/>
      </w:pPr>
      <w:r>
        <w:rPr>
          <w:rFonts w:ascii="Calibri" w:cs="Calibri" w:eastAsia="Calibri" w:hAnsi="Calibri"/>
          <w:color w:val="2B2B2B"/>
          <w:sz w:val="20"/>
          <w:szCs w:val="20"/>
        </w:rPr>
        <w:t xml:space="preserve">Écrire et exécuter des requêtes, exporter des résultats.</w:t>
      </w:r>
    </w:p>
    <w:p>
      <w:pPr>
        <w:spacing w:after="120" w:before="260"/>
      </w:pPr>
      <w:r>
        <w:rPr>
          <w:rFonts w:ascii="Calibri" w:cs="Calibri" w:eastAsia="Calibri" w:hAnsi="Calibri"/>
          <w:b/>
          <w:bCs/>
          <w:color w:val="1B2A4A"/>
          <w:sz w:val="23"/>
          <w:szCs w:val="23"/>
        </w:rPr>
        <w:t xml:space="preserve">4.1 — Ouvrir un éditeur SQL et exécuter</w:t>
      </w:r>
    </w:p>
    <w:p>
      <w:pPr>
        <w:spacing w:after="140"/>
      </w:pPr>
      <w:r>
        <w:rPr>
          <w:rFonts w:ascii="Calibri" w:cs="Calibri" w:eastAsia="Calibri" w:hAnsi="Calibri"/>
          <w:color w:val="2B2B2B"/>
          <w:sz w:val="20"/>
          <w:szCs w:val="20"/>
        </w:rPr>
        <w:t xml:space="preserve">SQL Editor → Nouvel éditeur SQL (ou Ctrl+]) ouvre une zone d'écriture connectée à la base active.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W w:type="pct" w:w="100%"/>
            <w:shd w:fill="16223B" w:color="auto" w:val="clear"/>
            <w:tcMar>
              <w:top w:type="dxa" w:w="180"/>
              <w:left w:type="dxa" w:w="260"/>
              <w:bottom w:type="dxa" w:w="180"/>
              <w:right w:type="dxa" w:w="260"/>
            </w:tcMar>
          </w:tcPr>
          <w:p>
            <w:pPr>
              <w:spacing w:after="20"/>
            </w:pPr>
            <w:r>
              <w:rPr>
                <w:rFonts w:ascii="Consolas" w:cs="Consolas" w:eastAsia="Consolas" w:hAnsi="Consolas"/>
                <w:color w:val="9FE6A0"/>
                <w:sz w:val="19"/>
                <w:szCs w:val="19"/>
              </w:rPr>
              <w:t xml:space="preserve">SELECT nom, prenom, moyenne</w:t>
            </w:r>
          </w:p>
          <w:p>
            <w:pPr>
              <w:spacing w:after="20"/>
            </w:pPr>
            <w:r>
              <w:rPr>
                <w:rFonts w:ascii="Consolas" w:cs="Consolas" w:eastAsia="Consolas" w:hAnsi="Consolas"/>
                <w:color w:val="9FE6A0"/>
                <w:sz w:val="19"/>
                <w:szCs w:val="19"/>
              </w:rPr>
              <w:t xml:space="preserve">FROM etudiant</w:t>
            </w:r>
          </w:p>
          <w:p>
            <w:pPr>
              <w:spacing w:after="20"/>
            </w:pPr>
            <w:r>
              <w:rPr>
                <w:rFonts w:ascii="Consolas" w:cs="Consolas" w:eastAsia="Consolas" w:hAnsi="Consolas"/>
                <w:color w:val="9FE6A0"/>
                <w:sz w:val="19"/>
                <w:szCs w:val="19"/>
              </w:rPr>
              <w:t xml:space="preserve">WHERE id_classe = 1   -- 1 = identifiant de la classe SISR1</w:t>
            </w:r>
          </w:p>
          <w:p>
            <w:pPr>
              <w:spacing w:after="0"/>
            </w:pPr>
            <w:r>
              <w:rPr>
                <w:rFonts w:ascii="Consolas" w:cs="Consolas" w:eastAsia="Consolas" w:hAnsi="Consolas"/>
                <w:color w:val="9FE6A0"/>
                <w:sz w:val="19"/>
                <w:szCs w:val="19"/>
              </w:rPr>
              <w:t xml:space="preserve">ORDER BY moyenne DESC;</w:t>
            </w:r>
          </w:p>
        </w:tc>
      </w:tr>
    </w:tbl>
    <w:p>
      <w:pPr>
        <w:spacing w:after="120" w:before="260"/>
      </w:pPr>
      <w:r>
        <w:rPr>
          <w:rFonts w:ascii="Calibri" w:cs="Calibri" w:eastAsia="Calibri" w:hAnsi="Calibri"/>
          <w:b/>
          <w:bCs/>
          <w:color w:val="1B2A4A"/>
          <w:sz w:val="23"/>
          <w:szCs w:val="23"/>
        </w:rPr>
        <w:t xml:space="preserve">4.2 — Raccourcis utiles</w:t>
      </w:r>
    </w:p>
    <w:tbl>
      <w:tblPr>
        <w:tblW w:type="pct" w:w="100%"/>
        <w:tblBorders>
          <w:top w:val="single" w:color="999999" w:sz="4"/>
          <w:left w:val="single" w:color="999999" w:sz="4"/>
          <w:bottom w:val="single" w:color="999999" w:sz="4"/>
          <w:right w:val="single" w:color="999999" w:sz="4"/>
          <w:insideH w:val="single" w:color="999999" w:sz="4"/>
          <w:insideV w:val="single" w:color="999999" w:sz="4"/>
        </w:tblBorders>
      </w:tblPr>
      <w:tblGrid>
        <w:gridCol w:w="100"/>
        <w:gridCol w:w="100"/>
      </w:tblGrid>
      <w:tr>
        <w:trPr>
          <w:cantSplit/>
        </w:trPr>
        <w:tc>
          <w:tcPr>
            <w:tcW w:type="pct" w:w="35%"/>
            <w:shd w:fill="F4F4F4" w:color="auto" w:val="clear"/>
            <w:tcMar>
              <w:top w:type="dxa" w:w="90"/>
              <w:left w:type="dxa" w:w="120"/>
              <w:bottom w:type="dxa" w:w="90"/>
              <w:right w:type="dxa" w:w="80"/>
            </w:tcMar>
          </w:tcPr>
          <w:p>
            <w:r>
              <w:rPr>
                <w:rFonts w:ascii="Consolas" w:cs="Consolas" w:eastAsia="Consolas" w:hAnsi="Consolas"/>
                <w:b/>
                <w:bCs/>
                <w:color w:val="1B2A4A"/>
                <w:sz w:val="15"/>
                <w:szCs w:val="15"/>
              </w:rPr>
              <w:t xml:space="preserve">Ctrl + Entrée</w:t>
            </w:r>
          </w:p>
        </w:tc>
        <w:tc>
          <w:tcPr>
            <w:tcW w:type="pct" w:w="65%"/>
            <w:shd w:fill="F4F4F4" w:color="auto" w:val="clear"/>
            <w:tcMar>
              <w:top w:type="dxa" w:w="90"/>
              <w:left w:type="dxa" w:w="120"/>
              <w:bottom w:type="dxa" w:w="90"/>
              <w:right w:type="dxa" w:w="80"/>
            </w:tcMar>
          </w:tcPr>
          <w:p>
            <w:r>
              <w:rPr>
                <w:rFonts w:ascii="Calibri" w:cs="Calibri" w:eastAsia="Calibri" w:hAnsi="Calibri"/>
                <w:color w:val="2B2B2B"/>
                <w:sz w:val="16"/>
                <w:szCs w:val="16"/>
              </w:rPr>
              <w:t xml:space="preserve">Exécuter la requête sous le curseur</w:t>
            </w:r>
          </w:p>
        </w:tc>
      </w:tr>
      <w:tr>
        <w:trPr>
          <w:cantSplit/>
        </w:trPr>
        <w:tc>
          <w:tcPr>
            <w:tcW w:type="pct" w:w="35%"/>
            <w:shd w:fill="FFFFFF" w:color="auto" w:val="clear"/>
            <w:tcMar>
              <w:top w:type="dxa" w:w="90"/>
              <w:left w:type="dxa" w:w="120"/>
              <w:bottom w:type="dxa" w:w="90"/>
              <w:right w:type="dxa" w:w="80"/>
            </w:tcMar>
          </w:tcPr>
          <w:p>
            <w:r>
              <w:rPr>
                <w:rFonts w:ascii="Consolas" w:cs="Consolas" w:eastAsia="Consolas" w:hAnsi="Consolas"/>
                <w:b/>
                <w:bCs/>
                <w:color w:val="1B2A4A"/>
                <w:sz w:val="15"/>
                <w:szCs w:val="15"/>
              </w:rPr>
              <w:t xml:space="preserve">Ctrl + Espace</w:t>
            </w:r>
          </w:p>
        </w:tc>
        <w:tc>
          <w:tcPr>
            <w:tcW w:type="pct" w:w="65%"/>
            <w:shd w:fill="FFFFFF" w:color="auto" w:val="clear"/>
            <w:tcMar>
              <w:top w:type="dxa" w:w="90"/>
              <w:left w:type="dxa" w:w="120"/>
              <w:bottom w:type="dxa" w:w="90"/>
              <w:right w:type="dxa" w:w="80"/>
            </w:tcMar>
          </w:tcPr>
          <w:p>
            <w:r>
              <w:rPr>
                <w:rFonts w:ascii="Calibri" w:cs="Calibri" w:eastAsia="Calibri" w:hAnsi="Calibri"/>
                <w:color w:val="2B2B2B"/>
                <w:sz w:val="16"/>
                <w:szCs w:val="16"/>
              </w:rPr>
              <w:t xml:space="preserve">Déclencher l'autocomplétion</w:t>
            </w:r>
          </w:p>
        </w:tc>
      </w:tr>
      <w:tr>
        <w:trPr>
          <w:cantSplit/>
        </w:trPr>
        <w:tc>
          <w:tcPr>
            <w:tcW w:type="pct" w:w="35%"/>
            <w:shd w:fill="F4F4F4" w:color="auto" w:val="clear"/>
            <w:tcMar>
              <w:top w:type="dxa" w:w="90"/>
              <w:left w:type="dxa" w:w="120"/>
              <w:bottom w:type="dxa" w:w="90"/>
              <w:right w:type="dxa" w:w="80"/>
            </w:tcMar>
          </w:tcPr>
          <w:p>
            <w:r>
              <w:rPr>
                <w:rFonts w:ascii="Consolas" w:cs="Consolas" w:eastAsia="Consolas" w:hAnsi="Consolas"/>
                <w:b/>
                <w:bCs/>
                <w:color w:val="1B2A4A"/>
                <w:sz w:val="15"/>
                <w:szCs w:val="15"/>
              </w:rPr>
              <w:t xml:space="preserve">Ctrl + /</w:t>
            </w:r>
          </w:p>
        </w:tc>
        <w:tc>
          <w:tcPr>
            <w:tcW w:type="pct" w:w="65%"/>
            <w:shd w:fill="F4F4F4" w:color="auto" w:val="clear"/>
            <w:tcMar>
              <w:top w:type="dxa" w:w="90"/>
              <w:left w:type="dxa" w:w="120"/>
              <w:bottom w:type="dxa" w:w="90"/>
              <w:right w:type="dxa" w:w="80"/>
            </w:tcMar>
          </w:tcPr>
          <w:p>
            <w:r>
              <w:rPr>
                <w:rFonts w:ascii="Calibri" w:cs="Calibri" w:eastAsia="Calibri" w:hAnsi="Calibri"/>
                <w:color w:val="2B2B2B"/>
                <w:sz w:val="16"/>
                <w:szCs w:val="16"/>
              </w:rPr>
              <w:t xml:space="preserve">Commenter / décommenter la ligne</w:t>
            </w:r>
          </w:p>
        </w:tc>
      </w:tr>
      <w:tr>
        <w:trPr>
          <w:cantSplit/>
        </w:trPr>
        <w:tc>
          <w:tcPr>
            <w:tcW w:type="pct" w:w="35%"/>
            <w:shd w:fill="FFFFFF" w:color="auto" w:val="clear"/>
            <w:tcMar>
              <w:top w:type="dxa" w:w="90"/>
              <w:left w:type="dxa" w:w="120"/>
              <w:bottom w:type="dxa" w:w="90"/>
              <w:right w:type="dxa" w:w="80"/>
            </w:tcMar>
          </w:tcPr>
          <w:p>
            <w:r>
              <w:rPr>
                <w:rFonts w:ascii="Consolas" w:cs="Consolas" w:eastAsia="Consolas" w:hAnsi="Consolas"/>
                <w:b/>
                <w:bCs/>
                <w:color w:val="1B2A4A"/>
                <w:sz w:val="15"/>
                <w:szCs w:val="15"/>
              </w:rPr>
              <w:t xml:space="preserve">F5</w:t>
            </w:r>
          </w:p>
        </w:tc>
        <w:tc>
          <w:tcPr>
            <w:tcW w:type="pct" w:w="65%"/>
            <w:shd w:fill="FFFFFF" w:color="auto" w:val="clear"/>
            <w:tcMar>
              <w:top w:type="dxa" w:w="90"/>
              <w:left w:type="dxa" w:w="120"/>
              <w:bottom w:type="dxa" w:w="90"/>
              <w:right w:type="dxa" w:w="80"/>
            </w:tcMar>
          </w:tcPr>
          <w:p>
            <w:r>
              <w:rPr>
                <w:rFonts w:ascii="Calibri" w:cs="Calibri" w:eastAsia="Calibri" w:hAnsi="Calibri"/>
                <w:color w:val="2B2B2B"/>
                <w:sz w:val="16"/>
                <w:szCs w:val="16"/>
              </w:rPr>
              <w:t xml:space="preserve">Rafraîchir l'arborescence</w:t>
            </w:r>
          </w:p>
        </w:tc>
      </w:tr>
    </w:tbl>
    <w:p>
      <w:pPr>
        <w:spacing w:after="120" w:before="260"/>
      </w:pPr>
      <w:r>
        <w:rPr>
          <w:rFonts w:ascii="Calibri" w:cs="Calibri" w:eastAsia="Calibri" w:hAnsi="Calibri"/>
          <w:b/>
          <w:bCs/>
          <w:color w:val="1B2A4A"/>
          <w:sz w:val="23"/>
          <w:szCs w:val="23"/>
        </w:rPr>
        <w:t xml:space="preserve">4.3 — Exporter des résultats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color w:val="2B2B2B"/>
          <w:sz w:val="20"/>
          <w:szCs w:val="20"/>
        </w:rPr>
        <w:t xml:space="preserve">CSV : format texte simple, universel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color w:val="2B2B2B"/>
          <w:sz w:val="20"/>
          <w:szCs w:val="20"/>
        </w:rPr>
        <w:t xml:space="preserve">Excel (.xlsx) : directement exploitable dans un tableur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color w:val="2B2B2B"/>
          <w:sz w:val="20"/>
          <w:szCs w:val="20"/>
        </w:rPr>
        <w:t xml:space="preserve">SQL (INSERT) : génère les instructions correspondant aux données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color w:val="2B2B2B"/>
          <w:sz w:val="20"/>
          <w:szCs w:val="20"/>
        </w:rPr>
        <w:t xml:space="preserve">JSON : format structuré, pratique pour une application web</w:t>
      </w:r>
    </w:p>
    <w:p>
      <w:pPr>
        <w:spacing w:after="160"/>
      </w:pPr>
      <w:r>
        <w:t xml:space="preserve"/>
      </w:r>
    </w:p>
    <w:p>
      <w:pPr>
        <w:spacing w:after="120" w:before="260"/>
      </w:pPr>
      <w:r>
        <w:rPr>
          <w:rFonts w:ascii="Calibri" w:cs="Calibri" w:eastAsia="Calibri" w:hAnsi="Calibri"/>
          <w:b/>
          <w:bCs/>
          <w:color w:val="1B2A4A"/>
          <w:sz w:val="23"/>
          <w:szCs w:val="23"/>
        </w:rPr>
        <w:t xml:space="preserve">4.4 — Bilan de la partie 4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W w:type="pct" w:w="100%"/>
            <w:tcBorders>
              <w:top w:val="none" w:color="FFFFFF" w:sz="0"/>
              <w:left w:val="single" w:color="3E7C59" w:sz="36"/>
              <w:bottom w:val="none" w:color="FFFFFF" w:sz="0"/>
              <w:right w:val="none" w:color="FFFFFF" w:sz="0"/>
            </w:tcBorders>
            <w:shd w:fill="EAF3ED" w:color="auto" w:val="clear"/>
            <w:tcMar>
              <w:top w:type="dxa" w:w="160"/>
              <w:left w:type="dxa" w:w="260"/>
              <w:bottom w:type="dxa" w:w="160"/>
              <w:right w:type="dxa" w:w="26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2B2B2B"/>
                <w:sz w:val="20"/>
                <w:szCs w:val="20"/>
              </w:rPr>
              <w:t xml:space="preserve">L'éditeur SQL (Ctrl+Entrée pour exécuter) permet d'écrire et tester ses requêtes, avec autocomplétion et export des résultats dans plusieurs formats.</w:t>
            </w:r>
          </w:p>
        </w:tc>
      </w:tr>
    </w:tbl>
    <w:p>
      <w:r>
        <w:br w:type="page"/>
      </w:r>
    </w:p>
    <w:p>
      <w:pPr>
        <w:pStyle w:val="Heading1"/>
        <w:shd w:fill="1A1A1A" w:color="auto" w:val="clear"/>
        <w:spacing w:after="200" w:before="400"/>
      </w:pPr>
      <w:r>
        <w:rPr>
          <w:rFonts w:ascii="Calibri" w:cs="Calibri" w:eastAsia="Calibri" w:hAnsi="Calibri"/>
          <w:b/>
          <w:bCs/>
          <w:color w:val="FFFFFF"/>
          <w:sz w:val="24"/>
          <w:szCs w:val="24"/>
        </w:rPr>
        <w:t xml:space="preserve">  TP GUIDÉ — À VOUS DE JOUER  </w:t>
      </w:r>
    </w:p>
    <w:p>
      <w:pPr>
        <w:spacing w:after="140"/>
      </w:pPr>
      <w:r>
        <w:rPr>
          <w:rFonts w:ascii="Calibri" w:cs="Calibri" w:eastAsia="Calibri" w:hAnsi="Calibri"/>
          <w:color w:val="2B2B2B"/>
          <w:sz w:val="20"/>
          <w:szCs w:val="20"/>
        </w:rPr>
        <w:t xml:space="preserve">Coche chaque étape au fur et à mesure de sa réalisation.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color w:val="2B2B2B"/>
          <w:sz w:val="20"/>
          <w:szCs w:val="20"/>
        </w:rPr>
        <w:t xml:space="preserve">☐ Se connecter à la base lycee avec les identifiants fournis par le professeur.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color w:val="2B2B2B"/>
          <w:sz w:val="20"/>
          <w:szCs w:val="20"/>
        </w:rPr>
        <w:t xml:space="preserve">☐ Dans l'arborescence, retrouver les tables etudiant et classe créées lors du cours sur CREATE TABLE.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color w:val="2B2B2B"/>
          <w:sz w:val="20"/>
          <w:szCs w:val="20"/>
        </w:rPr>
        <w:t xml:space="preserve">☐ Consulter la structure de la table etudiant (onglet Columns) : retrouver la clé primaire et la clé étrangère.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color w:val="2B2B2B"/>
          <w:sz w:val="20"/>
          <w:szCs w:val="20"/>
        </w:rPr>
        <w:t xml:space="preserve">☐ Ouvrir un éditeur SQL et exécuter une requête SELECT ... WHERE ... ORDER BY vue au cours précédent.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color w:val="2B2B2B"/>
          <w:sz w:val="20"/>
          <w:szCs w:val="20"/>
        </w:rPr>
        <w:t xml:space="preserve">☐ Afficher le diagramme ER de la base et comparer avec le MLD dessiné en cours.</w:t>
      </w:r>
    </w:p>
    <w:p>
      <w:pPr>
        <w:spacing w:after="200"/>
      </w:pPr>
      <w:r>
        <w:t xml:space="preserve"/>
      </w:r>
    </w:p>
    <w:p>
      <w:pPr>
        <w:pStyle w:val="Heading1"/>
        <w:shd w:fill="1A1A1A" w:color="auto" w:val="clear"/>
        <w:spacing w:after="200" w:before="400"/>
      </w:pPr>
      <w:r>
        <w:rPr>
          <w:rFonts w:ascii="Calibri" w:cs="Calibri" w:eastAsia="Calibri" w:hAnsi="Calibri"/>
          <w:b/>
          <w:bCs/>
          <w:color w:val="FFFFFF"/>
          <w:sz w:val="24"/>
          <w:szCs w:val="24"/>
        </w:rPr>
        <w:t xml:space="preserve">  SYNTHÈSE — CE QU'IL FAUT RETENIR  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W w:type="pct" w:w="100%"/>
            <w:tcBorders>
              <w:top w:val="none" w:color="FFFFFF" w:sz="0"/>
              <w:left w:val="single" w:color="3E7C59" w:sz="36"/>
              <w:bottom w:val="none" w:color="FFFFFF" w:sz="0"/>
              <w:right w:val="none" w:color="FFFFFF" w:sz="0"/>
            </w:tcBorders>
            <w:shd w:fill="EAF3ED" w:color="auto" w:val="clear"/>
            <w:tcMar>
              <w:top w:type="dxa" w:w="160"/>
              <w:left w:type="dxa" w:w="260"/>
              <w:bottom w:type="dxa" w:w="160"/>
              <w:right w:type="dxa" w:w="260"/>
            </w:tcMar>
          </w:tcPr>
          <w:p>
            <w:pPr>
              <w:spacing w:after="100"/>
            </w:pPr>
            <w:r>
              <w:rPr>
                <w:rFonts w:ascii="Calibri" w:cs="Calibri" w:eastAsia="Calibri" w:hAnsi="Calibri"/>
                <w:color w:val="2B2B2B"/>
                <w:sz w:val="20"/>
                <w:szCs w:val="20"/>
              </w:rPr>
              <w:t xml:space="preserve">DBeaver Community est gratuit, multiplateforme, et se télécharge sur dbeaver.io — l'installation ne demande aucun prérequis particulier.</w:t>
            </w:r>
          </w:p>
          <w:p>
            <w:pPr>
              <w:spacing w:after="100"/>
            </w:pPr>
            <w:r>
              <w:rPr>
                <w:rFonts w:ascii="Calibri" w:cs="Calibri" w:eastAsia="Calibri" w:hAnsi="Calibri"/>
                <w:color w:val="2B2B2B"/>
                <w:sz w:val="20"/>
                <w:szCs w:val="20"/>
              </w:rPr>
              <w:t xml:space="preserve">Une connexion se crée en renseignant serveur, port, base, utilisateur et mot de passe, puis en testant avant de valider.</w:t>
            </w:r>
          </w:p>
          <w:p>
            <w:pPr>
              <w:spacing w:after="100"/>
            </w:pPr>
            <w:r>
              <w:rPr>
                <w:rFonts w:ascii="Calibri" w:cs="Calibri" w:eastAsia="Calibri" w:hAnsi="Calibri"/>
                <w:color w:val="2B2B2B"/>
                <w:sz w:val="20"/>
                <w:szCs w:val="20"/>
              </w:rPr>
              <w:t xml:space="preserve">L'explorateur permet de naviguer dans la structure et de visualiser les données comme dans un tableur.</w:t>
            </w:r>
          </w:p>
          <w:p>
            <w:pPr>
              <w:spacing w:after="100"/>
            </w:pPr>
            <w:r>
              <w:rPr>
                <w:rFonts w:ascii="Calibri" w:cs="Calibri" w:eastAsia="Calibri" w:hAnsi="Calibri"/>
                <w:color w:val="2B2B2B"/>
                <w:sz w:val="20"/>
                <w:szCs w:val="20"/>
              </w:rPr>
              <w:t xml:space="preserve">L'éditeur SQL (Ctrl+Entrée pour exécuter) permet d'écrire et tester ses requêtes, avec autocomplétion et export des résultats.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color w:val="2B2B2B"/>
                <w:sz w:val="20"/>
                <w:szCs w:val="20"/>
              </w:rPr>
              <w:t xml:space="preserve">DBeaver, installé sur le poste, n'ajoute aucun service sur le serveur : sa surface d'attaque est plus faible que celle de phpMyAdmin (serveur web + PHP), et il permet tunnel SSH et SSL/TLS. En contrepartie, le SGBD doit accepter les connexions distantes (ou passer par un tunnel SSH).</w:t>
            </w:r>
          </w:p>
        </w:tc>
      </w:tr>
    </w:tbl>
    <w:p>
      <w:pPr>
        <w:spacing w:after="200"/>
      </w:pPr>
      <w:r>
        <w:t xml:space="preserve"/>
      </w:r>
    </w:p>
    <w:p>
      <w:pPr>
        <w:spacing w:after="120" w:before="260"/>
      </w:pPr>
      <w:r>
        <w:rPr>
          <w:rFonts w:ascii="Calibri" w:cs="Calibri" w:eastAsia="Calibri" w:hAnsi="Calibri"/>
          <w:b/>
          <w:bCs/>
          <w:color w:val="1B2A4A"/>
          <w:sz w:val="23"/>
          <w:szCs w:val="23"/>
        </w:rPr>
        <w:t xml:space="preserve">Auto-évaluation rapide</w:t>
      </w:r>
    </w:p>
    <w:p>
      <w:pPr>
        <w:spacing w:after="120" w:before="200"/>
      </w:pPr>
      <w:r>
        <w:rPr>
          <w:rFonts w:ascii="Calibri" w:cs="Calibri" w:eastAsia="Calibri" w:hAnsi="Calibri"/>
          <w:b/>
          <w:bCs/>
          <w:color w:val="C97A2B"/>
          <w:sz w:val="20"/>
          <w:szCs w:val="20"/>
        </w:rPr>
        <w:t xml:space="preserve">Q1. </w:t>
      </w:r>
      <w:r>
        <w:rPr>
          <w:rFonts w:ascii="Calibri" w:cs="Calibri" w:eastAsia="Calibri" w:hAnsi="Calibri"/>
          <w:b/>
          <w:bCs/>
          <w:color w:val="2B2B2B"/>
          <w:sz w:val="20"/>
          <w:szCs w:val="20"/>
        </w:rPr>
        <w:t xml:space="preserve">Sur quel site télécharge-t-on DBeaver Community ?</w:t>
      </w:r>
    </w:p>
    <w:p>
      <w:pPr>
        <w:pBdr>
          <w:bottom w:val="single" w:color="B7B7B7" w:sz="4" w:space="1"/>
        </w:pBdr>
        <w:spacing w:after="220"/>
      </w:pPr>
      <w:r>
        <w:rPr>
          <w:sz w:val="20"/>
          <w:szCs w:val="20"/>
        </w:rPr>
        <w:t xml:space="preserve"> </w:t>
      </w:r>
    </w:p>
    <w:p>
      <w:pPr>
        <w:spacing w:after="120" w:before="200"/>
      </w:pPr>
      <w:r>
        <w:rPr>
          <w:rFonts w:ascii="Calibri" w:cs="Calibri" w:eastAsia="Calibri" w:hAnsi="Calibri"/>
          <w:b/>
          <w:bCs/>
          <w:color w:val="C97A2B"/>
          <w:sz w:val="20"/>
          <w:szCs w:val="20"/>
        </w:rPr>
        <w:t xml:space="preserve">Q2. </w:t>
      </w:r>
      <w:r>
        <w:rPr>
          <w:rFonts w:ascii="Calibri" w:cs="Calibri" w:eastAsia="Calibri" w:hAnsi="Calibri"/>
          <w:b/>
          <w:bCs/>
          <w:color w:val="2B2B2B"/>
          <w:sz w:val="20"/>
          <w:szCs w:val="20"/>
        </w:rPr>
        <w:t xml:space="preserve">Quel raccourci exécute la requête sous le curseur dans l'éditeur SQL ?</w:t>
      </w:r>
    </w:p>
    <w:p>
      <w:pPr>
        <w:pBdr>
          <w:bottom w:val="single" w:color="B7B7B7" w:sz="4" w:space="1"/>
        </w:pBdr>
        <w:spacing w:after="220"/>
      </w:pPr>
      <w:r>
        <w:rPr>
          <w:sz w:val="20"/>
          <w:szCs w:val="20"/>
        </w:rPr>
        <w:t xml:space="preserve"> </w:t>
      </w:r>
    </w:p>
    <w:p>
      <w:pPr>
        <w:spacing w:after="120" w:before="200"/>
      </w:pPr>
      <w:r>
        <w:rPr>
          <w:rFonts w:ascii="Calibri" w:cs="Calibri" w:eastAsia="Calibri" w:hAnsi="Calibri"/>
          <w:b/>
          <w:bCs/>
          <w:color w:val="C97A2B"/>
          <w:sz w:val="20"/>
          <w:szCs w:val="20"/>
        </w:rPr>
        <w:t xml:space="preserve">Q3. </w:t>
      </w:r>
      <w:r>
        <w:rPr>
          <w:rFonts w:ascii="Calibri" w:cs="Calibri" w:eastAsia="Calibri" w:hAnsi="Calibri"/>
          <w:b/>
          <w:bCs/>
          <w:color w:val="2B2B2B"/>
          <w:sz w:val="20"/>
          <w:szCs w:val="20"/>
        </w:rPr>
        <w:t xml:space="preserve">Quel onglet permet de visualiser automatiquement les relations entre les tables ?</w:t>
      </w:r>
    </w:p>
    <w:p>
      <w:pPr>
        <w:pBdr>
          <w:bottom w:val="single" w:color="B7B7B7" w:sz="4" w:space="1"/>
        </w:pBdr>
        <w:spacing w:after="220"/>
      </w:pPr>
      <w:r>
        <w:rPr>
          <w:sz w:val="20"/>
          <w:szCs w:val="20"/>
        </w:rPr>
        <w:t xml:space="preserve"> </w:t>
      </w:r>
    </w:p>
    <w:p>
      <w:pPr>
        <w:spacing w:after="120" w:before="200"/>
      </w:pPr>
      <w:r>
        <w:rPr>
          <w:rFonts w:ascii="Calibri" w:cs="Calibri" w:eastAsia="Calibri" w:hAnsi="Calibri"/>
          <w:b/>
          <w:bCs/>
          <w:color w:val="C97A2B"/>
          <w:sz w:val="20"/>
          <w:szCs w:val="20"/>
        </w:rPr>
        <w:t xml:space="preserve">Q4. </w:t>
      </w:r>
      <w:r>
        <w:rPr>
          <w:rFonts w:ascii="Calibri" w:cs="Calibri" w:eastAsia="Calibri" w:hAnsi="Calibri"/>
          <w:b/>
          <w:bCs/>
          <w:color w:val="2B2B2B"/>
          <w:sz w:val="20"/>
          <w:szCs w:val="20"/>
        </w:rPr>
        <w:t xml:space="preserve">Pourquoi faut-il être prudent en éditant des données directement dans l'onglet Data ?</w:t>
      </w:r>
    </w:p>
    <w:p>
      <w:pPr>
        <w:pBdr>
          <w:bottom w:val="single" w:color="B7B7B7" w:sz="4" w:space="1"/>
        </w:pBdr>
        <w:spacing w:after="220"/>
      </w:pPr>
      <w:r>
        <w:rPr>
          <w:sz w:val="20"/>
          <w:szCs w:val="20"/>
        </w:rPr>
        <w:t xml:space="preserve"> </w:t>
      </w:r>
    </w:p>
    <w:p>
      <w:pPr>
        <w:spacing w:after="120" w:before="200"/>
      </w:pPr>
      <w:r>
        <w:rPr>
          <w:rFonts w:ascii="Calibri" w:cs="Calibri" w:eastAsia="Calibri" w:hAnsi="Calibri"/>
          <w:b/>
          <w:bCs/>
          <w:color w:val="C97A2B"/>
          <w:sz w:val="20"/>
          <w:szCs w:val="20"/>
        </w:rPr>
        <w:t xml:space="preserve">Q5. </w:t>
      </w:r>
      <w:r>
        <w:rPr>
          <w:rFonts w:ascii="Calibri" w:cs="Calibri" w:eastAsia="Calibri" w:hAnsi="Calibri"/>
          <w:b/>
          <w:bCs/>
          <w:color w:val="2B2B2B"/>
          <w:sz w:val="20"/>
          <w:szCs w:val="20"/>
        </w:rPr>
        <w:t xml:space="preserve">Pourquoi DBeaver réduit-il la surface d'attaque par rapport à phpMyAdmin ?</w:t>
      </w:r>
    </w:p>
    <w:p>
      <w:pPr>
        <w:pBdr>
          <w:bottom w:val="single" w:color="B7B7B7" w:sz="4" w:space="1"/>
        </w:pBdr>
        <w:spacing w:after="260"/>
      </w:pPr>
      <w:r>
        <w:rPr>
          <w:sz w:val="20"/>
          <w:szCs w:val="20"/>
        </w:rPr>
        <w:t xml:space="preserve"> </w:t>
      </w:r>
    </w:p>
    <w:p>
      <w:pPr>
        <w:spacing w:after="120" w:before="200"/>
      </w:pPr>
      <w:r>
        <w:rPr>
          <w:rFonts w:ascii="Calibri" w:cs="Calibri" w:eastAsia="Calibri" w:hAnsi="Calibri"/>
          <w:b/>
          <w:bCs/>
          <w:color w:val="C97A2B"/>
          <w:sz w:val="20"/>
          <w:szCs w:val="20"/>
        </w:rPr>
        <w:t xml:space="preserve">Q6. </w:t>
      </w:r>
      <w:r>
        <w:rPr>
          <w:rFonts w:ascii="Calibri" w:cs="Calibri" w:eastAsia="Calibri" w:hAnsi="Calibri"/>
          <w:b/>
          <w:bCs/>
          <w:color w:val="2B2B2B"/>
          <w:sz w:val="20"/>
          <w:szCs w:val="20"/>
        </w:rPr>
        <w:t xml:space="preserve">Pourquoi un compte créé avec @'localhost' ne permet-il pas de se connecter avec DBeaver depuis un autre poste ?</w:t>
      </w:r>
    </w:p>
    <w:p>
      <w:pPr>
        <w:pBdr>
          <w:bottom w:val="single" w:color="B7B7B7" w:sz="4" w:space="1"/>
        </w:pBdr>
        <w:spacing w:after="260"/>
      </w:pPr>
      <w:r>
        <w:rPr>
          <w:sz w:val="20"/>
          <w:szCs w:val="20"/>
        </w:rPr>
        <w:t xml:space="preserve"> </w:t>
      </w:r>
    </w:p>
    <w:p>
      <w:pPr>
        <w:spacing w:after="200"/>
      </w:pPr>
      <w:r>
        <w:t xml:space="preserve"/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W w:type="pct" w:w="100%"/>
            <w:tcBorders>
              <w:top w:val="none" w:color="FFFFFF" w:sz="0"/>
              <w:left w:val="single" w:color="C97A2B" w:sz="36"/>
              <w:bottom w:val="none" w:color="FFFFFF" w:sz="0"/>
              <w:right w:val="none" w:color="FFFFFF" w:sz="0"/>
            </w:tcBorders>
            <w:shd w:fill="FBEEDE" w:color="auto" w:val="clear"/>
            <w:tcMar>
              <w:top w:type="dxa" w:w="160"/>
              <w:left w:type="dxa" w:w="260"/>
              <w:bottom w:type="dxa" w:w="160"/>
              <w:right w:type="dxa" w:w="260"/>
            </w:tcMar>
          </w:tcPr>
          <w:p>
            <w:pPr>
              <w:spacing w:after="80"/>
            </w:pPr>
            <w:r>
              <w:rPr>
                <w:rFonts w:ascii="Calibri" w:cs="Calibri" w:eastAsia="Calibri" w:hAnsi="Calibri"/>
                <w:b/>
                <w:bCs/>
                <w:color w:val="C97A2B"/>
                <w:sz w:val="21"/>
                <w:szCs w:val="21"/>
              </w:rPr>
              <w:t xml:space="preserve">Et la suite ?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color w:val="2B2B2B"/>
                <w:sz w:val="20"/>
                <w:szCs w:val="20"/>
              </w:rPr>
              <w:t xml:space="preserve">Prochain cours : les jointures (JOIN), pour interroger plusieurs tables à la fois — à écrire et tester directement dans DBeaver.</w:t>
            </w:r>
          </w:p>
        </w:tc>
      </w:tr>
    </w:tbl>
    <w:sectPr>
      <w:headerReference w:type="default" r:id="rId7"/>
      <w:footerReference w:type="default" r:id="rId8"/>
      <w:pgSz w:w="11906" w:h="16838" w:orient="portrait"/>
      <w:pgMar w:top="1300" w:right="1000" w:bottom="100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CCCCCC" w:sz="4" w:space="4"/>
      </w:pBdr>
      <w:tabs>
        <w:tab w:val="right" w:pos="9026"/>
      </w:tabs>
    </w:pPr>
    <w:r>
      <w:rPr>
        <w:rFonts w:ascii="Calibri" w:cs="Calibri" w:eastAsia="Calibri" w:hAnsi="Calibri"/>
        <w:color w:val="6B6B6B"/>
        <w:sz w:val="15"/>
        <w:szCs w:val="15"/>
      </w:rPr>
      <w:t xml:space="preserve">Installer et prendre en main DBeaver — Livret étudiant — Bruno Jousseaume — BTS SIO</w:t>
    </w:r>
    <w:r>
      <w:t xml:space="preserve">	</w:t>
    </w:r>
    <w:r>
      <w:rPr>
        <w:rFonts w:ascii="Calibri" w:cs="Calibri" w:eastAsia="Calibri" w:hAnsi="Calibri"/>
        <w:color w:val="6B6B6B"/>
        <w:sz w:val="15"/>
        <w:szCs w:val="15"/>
      </w:rPr>
      <w:t xml:space="preserve">Page </w:t>
    </w:r>
    <w:r>
      <w:rPr>
        <w:rFonts w:ascii="Calibri" w:cs="Calibri" w:eastAsia="Calibri" w:hAnsi="Calibri"/>
        <w:color w:val="6B6B6B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6B6B"/>
        <w:sz w:val="15"/>
        <w:szCs w:val="15"/>
      </w:rPr>
      <w:t xml:space="preserve"> / </w:t>
    </w:r>
    <w:r>
      <w:rPr>
        <w:rFonts w:ascii="Calibri" w:cs="Calibri" w:eastAsia="Calibri" w:hAnsi="Calibri"/>
        <w:color w:val="6B6B6B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tbl>
    <w:tblPr>
      <w:tblW w:type="pct" w:w="100%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</w:tblPr>
    <w:tblGrid>
      <w:gridCol w:w="100"/>
      <w:gridCol w:w="100"/>
    </w:tblGrid>
    <w:tr>
      <w:tc>
        <w:tcPr>
          <w:tcW w:type="pct" w:w="55%"/>
          <w:shd w:fill="1A1A1A" w:color="auto" w:val="clear"/>
          <w:tcMar>
            <w:top w:type="dxa" w:w="120"/>
            <w:left w:type="dxa" w:w="200"/>
            <w:bottom w:type="dxa" w:w="120"/>
            <w:right w:type="dxa" w:w="120"/>
          </w:tcMar>
          <w:vAlign w:val="center"/>
        </w:tcPr>
        <w:p>
          <w:r>
            <w:rPr>
              <w:rFonts w:ascii="Calibri" w:cs="Calibri" w:eastAsia="Calibri" w:hAnsi="Calibri"/>
              <w:b/>
              <w:bCs/>
              <w:color w:val="FFFFFF"/>
              <w:sz w:val="19"/>
              <w:szCs w:val="19"/>
            </w:rPr>
            <w:t xml:space="preserve">PRISE EN MAIN DBEAVER</w:t>
          </w:r>
        </w:p>
      </w:tc>
      <w:tc>
        <w:tcPr>
          <w:tcW w:type="pct" w:w="45%"/>
          <w:shd w:fill="3F3F3F" w:color="auto" w:val="clear"/>
          <w:tcMar>
            <w:top w:type="dxa" w:w="120"/>
            <w:left w:type="dxa" w:w="120"/>
            <w:bottom w:type="dxa" w:w="120"/>
            <w:right w:type="dxa" w:w="200"/>
          </w:tcMar>
          <w:vAlign w:val="center"/>
        </w:tcPr>
        <w:p>
          <w:pPr>
            <w:jc w:val="right"/>
          </w:pPr>
          <w:r>
            <w:rPr>
              <w:rFonts w:ascii="Calibri" w:cs="Calibri" w:eastAsia="Calibri" w:hAnsi="Calibri"/>
              <w:b/>
              <w:bCs/>
              <w:color w:val="F2B25C"/>
              <w:sz w:val="19"/>
              <w:szCs w:val="19"/>
            </w:rPr>
            <w:t xml:space="preserve">LIVRET ÉTUDIANT</w:t>
          </w:r>
        </w:p>
      </w:tc>
    </w:tr>
  </w:tbl>
  <w:p>
    <w:pPr>
      <w:spacing w:after="0"/>
    </w:pPr>
    <w:r>
      <w:t xml:space="preserve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2026-08-30T19:22:34.405Z</dcterms:created>
  <dcterms:modified xsi:type="dcterms:W3CDTF">2026-08-30T19:22:34.405Z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